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Default Extension="png" ContentType="image/pn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21"/>
        <w:rPr>
          <w:rFonts w:ascii="Times New Roman"/>
          <w:sz w:val="20"/>
        </w:rPr>
      </w:pPr>
    </w:p>
    <w:p>
      <w:pPr>
        <w:spacing w:line="240" w:lineRule="auto"/>
        <w:ind w:left="325" w:right="0" w:firstLine="0"/>
        <w:rPr>
          <w:rFonts w:ascii="Times New Roman"/>
          <w:sz w:val="20"/>
        </w:rPr>
      </w:pPr>
      <w:r>
        <w:rPr>
          <w:rFonts w:ascii="Times New Roman"/>
          <w:sz w:val="20"/>
        </w:rPr>
        <w:drawing>
          <wp:inline distT="0" distB="0" distL="0" distR="0">
            <wp:extent cx="5631096" cy="1668018"/>
            <wp:effectExtent l="0" t="0" r="0" b="0"/>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5631096" cy="1668018"/>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20"/>
        <w:rPr>
          <w:rFonts w:ascii="Times New Roman"/>
          <w:sz w:val="20"/>
        </w:rPr>
      </w:pPr>
      <w:r>
        <w:rPr>
          <w:rFonts w:ascii="Times New Roman"/>
          <w:sz w:val="20"/>
        </w:rPr>
        <mc:AlternateContent>
          <mc:Choice Requires="wps">
            <w:drawing>
              <wp:anchor distT="0" distB="0" distL="0" distR="0" allowOverlap="1" layoutInCell="1" locked="0" behindDoc="1" simplePos="0" relativeHeight="487587840">
                <wp:simplePos x="0" y="0"/>
                <wp:positionH relativeFrom="page">
                  <wp:posOffset>1019811</wp:posOffset>
                </wp:positionH>
                <wp:positionV relativeFrom="paragraph">
                  <wp:posOffset>301233</wp:posOffset>
                </wp:positionV>
                <wp:extent cx="5433695" cy="1270"/>
                <wp:effectExtent l="0" t="0" r="0" b="0"/>
                <wp:wrapTopAndBottom/>
                <wp:docPr id="3" name="Graphic 3"/>
                <wp:cNvGraphicFramePr>
                  <a:graphicFrameLocks/>
                </wp:cNvGraphicFramePr>
                <a:graphic>
                  <a:graphicData uri="http://schemas.microsoft.com/office/word/2010/wordprocessingShape">
                    <wps:wsp>
                      <wps:cNvPr id="3" name="Graphic 3"/>
                      <wps:cNvSpPr/>
                      <wps:spPr>
                        <a:xfrm>
                          <a:off x="0" y="0"/>
                          <a:ext cx="5433695" cy="1270"/>
                        </a:xfrm>
                        <a:custGeom>
                          <a:avLst/>
                          <a:gdLst/>
                          <a:ahLst/>
                          <a:cxnLst/>
                          <a:rect l="l" t="t" r="r" b="b"/>
                          <a:pathLst>
                            <a:path w="5433695" h="0">
                              <a:moveTo>
                                <a:pt x="0" y="0"/>
                              </a:moveTo>
                              <a:lnTo>
                                <a:pt x="5433462" y="0"/>
                              </a:lnTo>
                            </a:path>
                          </a:pathLst>
                        </a:custGeom>
                        <a:ln w="9139">
                          <a:solidFill>
                            <a:srgbClr val="5B9BD3"/>
                          </a:solidFill>
                          <a:prstDash val="solid"/>
                        </a:ln>
                      </wps:spPr>
                      <wps:bodyPr wrap="square" lIns="0" tIns="0" rIns="0" bIns="0" rtlCol="0">
                        <a:prstTxWarp prst="textNoShape">
                          <a:avLst/>
                        </a:prstTxWarp>
                        <a:noAutofit/>
                      </wps:bodyPr>
                    </wps:wsp>
                  </a:graphicData>
                </a:graphic>
              </wp:anchor>
            </w:drawing>
          </mc:Choice>
          <mc:Fallback>
            <w:pict>
              <v:shape style="position:absolute;margin-left:80.300079pt;margin-top:23.719206pt;width:427.85pt;height:.1pt;mso-position-horizontal-relative:page;mso-position-vertical-relative:paragraph;z-index:-15728640;mso-wrap-distance-left:0;mso-wrap-distance-right:0" id="docshape2" coordorigin="1606,474" coordsize="8557,0" path="m1606,474l10163,474e" filled="false" stroked="true" strokeweight=".719633pt" strokecolor="#5b9bd3">
                <v:path arrowok="t"/>
                <v:stroke dashstyle="solid"/>
                <w10:wrap type="topAndBottom"/>
              </v:shape>
            </w:pict>
          </mc:Fallback>
        </mc:AlternateContent>
      </w:r>
    </w:p>
    <w:p>
      <w:pPr>
        <w:pStyle w:val="Title"/>
        <w:rPr>
          <w:b w:val="0"/>
        </w:rPr>
      </w:pPr>
      <w:r>
        <w:rPr>
          <w:b w:val="0"/>
          <w:color w:val="2D5294"/>
        </w:rPr>
        <w:t>MEMORIA</w:t>
      </w:r>
      <w:r>
        <w:rPr>
          <w:b w:val="0"/>
          <w:color w:val="2D5294"/>
          <w:spacing w:val="-6"/>
        </w:rPr>
        <w:t> </w:t>
      </w:r>
      <w:r>
        <w:rPr>
          <w:b w:val="0"/>
          <w:color w:val="2D5294"/>
        </w:rPr>
        <w:t>ANUAL</w:t>
      </w:r>
      <w:r>
        <w:rPr>
          <w:b w:val="0"/>
          <w:color w:val="2D5294"/>
          <w:spacing w:val="-9"/>
        </w:rPr>
        <w:t> </w:t>
      </w:r>
      <w:r>
        <w:rPr>
          <w:b w:val="0"/>
          <w:color w:val="2D5294"/>
          <w:spacing w:val="-4"/>
        </w:rPr>
        <w:t>2025</w:t>
      </w:r>
    </w:p>
    <w:p>
      <w:pPr>
        <w:pStyle w:val="BodyText"/>
        <w:spacing w:before="90"/>
        <w:rPr>
          <w:rFonts w:ascii="Calibri Light"/>
          <w:b w:val="0"/>
          <w:sz w:val="20"/>
        </w:rPr>
      </w:pPr>
      <w:r>
        <w:rPr>
          <w:rFonts w:ascii="Calibri Light"/>
          <w:b w:val="0"/>
          <w:sz w:val="20"/>
        </w:rPr>
        <mc:AlternateContent>
          <mc:Choice Requires="wps">
            <w:drawing>
              <wp:anchor distT="0" distB="0" distL="0" distR="0" allowOverlap="1" layoutInCell="1" locked="0" behindDoc="1" simplePos="0" relativeHeight="487588352">
                <wp:simplePos x="0" y="0"/>
                <wp:positionH relativeFrom="page">
                  <wp:posOffset>1019811</wp:posOffset>
                </wp:positionH>
                <wp:positionV relativeFrom="paragraph">
                  <wp:posOffset>227419</wp:posOffset>
                </wp:positionV>
                <wp:extent cx="5433695" cy="127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5433695" cy="1270"/>
                        </a:xfrm>
                        <a:custGeom>
                          <a:avLst/>
                          <a:gdLst/>
                          <a:ahLst/>
                          <a:cxnLst/>
                          <a:rect l="l" t="t" r="r" b="b"/>
                          <a:pathLst>
                            <a:path w="5433695" h="0">
                              <a:moveTo>
                                <a:pt x="0" y="0"/>
                              </a:moveTo>
                              <a:lnTo>
                                <a:pt x="5433462" y="0"/>
                              </a:lnTo>
                            </a:path>
                          </a:pathLst>
                        </a:custGeom>
                        <a:ln w="9139">
                          <a:solidFill>
                            <a:srgbClr val="5B9BD3"/>
                          </a:solidFill>
                          <a:prstDash val="solid"/>
                        </a:ln>
                      </wps:spPr>
                      <wps:bodyPr wrap="square" lIns="0" tIns="0" rIns="0" bIns="0" rtlCol="0">
                        <a:prstTxWarp prst="textNoShape">
                          <a:avLst/>
                        </a:prstTxWarp>
                        <a:noAutofit/>
                      </wps:bodyPr>
                    </wps:wsp>
                  </a:graphicData>
                </a:graphic>
              </wp:anchor>
            </w:drawing>
          </mc:Choice>
          <mc:Fallback>
            <w:pict>
              <v:shape style="position:absolute;margin-left:80.300079pt;margin-top:17.907032pt;width:427.85pt;height:.1pt;mso-position-horizontal-relative:page;mso-position-vertical-relative:paragraph;z-index:-15728128;mso-wrap-distance-left:0;mso-wrap-distance-right:0" id="docshape3" coordorigin="1606,358" coordsize="8557,0" path="m1606,358l10163,358e" filled="false" stroked="true" strokeweight=".719633pt" strokecolor="#5b9bd3">
                <v:path arrowok="t"/>
                <v:stroke dashstyle="solid"/>
                <w10:wrap type="topAndBottom"/>
              </v:shape>
            </w:pict>
          </mc:Fallback>
        </mc:AlternateContent>
      </w:r>
    </w:p>
    <w:p>
      <w:pPr>
        <w:pStyle w:val="BodyText"/>
        <w:spacing w:after="0"/>
        <w:rPr>
          <w:rFonts w:ascii="Calibri Light"/>
          <w:b w:val="0"/>
          <w:sz w:val="20"/>
        </w:rPr>
        <w:sectPr>
          <w:footerReference w:type="default" r:id="rId5"/>
          <w:type w:val="continuous"/>
          <w:pgSz w:w="11900" w:h="16840"/>
          <w:pgMar w:header="0" w:footer="468" w:top="1940" w:bottom="660" w:left="1275" w:right="283"/>
          <w:pgNumType w:start="1"/>
        </w:sectPr>
      </w:pPr>
    </w:p>
    <w:p>
      <w:pPr>
        <w:pStyle w:val="Heading1"/>
        <w:spacing w:before="78"/>
        <w:ind w:left="348"/>
        <w:rPr>
          <w:b w:val="0"/>
        </w:rPr>
      </w:pPr>
      <w:bookmarkStart w:name="_TOC_250018" w:id="1"/>
      <w:bookmarkEnd w:id="1"/>
      <w:r>
        <w:rPr>
          <w:b w:val="0"/>
          <w:spacing w:val="-2"/>
        </w:rPr>
        <w:t>INDICE</w:t>
      </w:r>
    </w:p>
    <w:sdt>
      <w:sdtPr>
        <w:docPartObj>
          <w:docPartGallery w:val="Table of Contents"/>
          <w:docPartUnique/>
        </w:docPartObj>
      </w:sdtPr>
      <w:sdtEndPr/>
      <w:sdtContent>
        <w:p>
          <w:pPr>
            <w:pStyle w:val="TOC1"/>
            <w:tabs>
              <w:tab w:pos="9177" w:val="right" w:leader="dot"/>
            </w:tabs>
            <w:spacing w:before="884"/>
          </w:pPr>
          <w:r>
            <w:fldChar w:fldCharType="begin"/>
          </w:r>
          <w:r>
            <w:instrText>TOC \o "1-3" \h \z \u </w:instrText>
          </w:r>
          <w:r>
            <w:fldChar w:fldCharType="separate"/>
          </w:r>
          <w:hyperlink w:history="true" w:anchor="_TOC_250018">
            <w:r>
              <w:rPr>
                <w:spacing w:val="-2"/>
              </w:rPr>
              <w:t>INDICE</w:t>
            </w:r>
            <w:r>
              <w:rPr>
                <w:rFonts w:ascii="Times New Roman"/>
                <w:b w:val="0"/>
              </w:rPr>
              <w:tab/>
            </w:r>
            <w:r>
              <w:rPr>
                <w:spacing w:val="-10"/>
              </w:rPr>
              <w:t>2</w:t>
            </w:r>
          </w:hyperlink>
        </w:p>
        <w:p>
          <w:pPr>
            <w:pStyle w:val="TOC1"/>
            <w:tabs>
              <w:tab w:pos="9177" w:val="right" w:leader="dot"/>
            </w:tabs>
            <w:spacing w:before="245"/>
          </w:pPr>
          <w:hyperlink w:history="true" w:anchor="_TOC_250017">
            <w:r>
              <w:rPr/>
              <w:t>INFORME</w:t>
            </w:r>
            <w:r>
              <w:rPr>
                <w:spacing w:val="-8"/>
              </w:rPr>
              <w:t> </w:t>
            </w:r>
            <w:r>
              <w:rPr/>
              <w:t>DE</w:t>
            </w:r>
            <w:r>
              <w:rPr>
                <w:spacing w:val="-5"/>
              </w:rPr>
              <w:t> </w:t>
            </w:r>
            <w:r>
              <w:rPr/>
              <w:t>LA</w:t>
            </w:r>
            <w:r>
              <w:rPr>
                <w:spacing w:val="-12"/>
              </w:rPr>
              <w:t> </w:t>
            </w:r>
            <w:r>
              <w:rPr>
                <w:spacing w:val="-2"/>
              </w:rPr>
              <w:t>DECANA</w:t>
            </w:r>
            <w:r>
              <w:rPr>
                <w:rFonts w:ascii="Times New Roman"/>
                <w:b w:val="0"/>
              </w:rPr>
              <w:tab/>
            </w:r>
            <w:r>
              <w:rPr>
                <w:spacing w:val="-10"/>
              </w:rPr>
              <w:t>3</w:t>
            </w:r>
          </w:hyperlink>
        </w:p>
        <w:p>
          <w:pPr>
            <w:pStyle w:val="TOC1"/>
            <w:tabs>
              <w:tab w:pos="9177" w:val="right" w:leader="dot"/>
            </w:tabs>
          </w:pPr>
          <w:hyperlink w:history="true" w:anchor="_TOC_250016">
            <w:r>
              <w:rPr/>
              <w:t>JUNTA</w:t>
            </w:r>
            <w:r>
              <w:rPr>
                <w:spacing w:val="-8"/>
              </w:rPr>
              <w:t> </w:t>
            </w:r>
            <w:r>
              <w:rPr/>
              <w:t>DE</w:t>
            </w:r>
            <w:r>
              <w:rPr>
                <w:spacing w:val="-14"/>
              </w:rPr>
              <w:t> </w:t>
            </w:r>
            <w:r>
              <w:rPr>
                <w:spacing w:val="-2"/>
              </w:rPr>
              <w:t>GOBIERNO</w:t>
            </w:r>
            <w:r>
              <w:rPr>
                <w:rFonts w:ascii="Times New Roman"/>
                <w:b w:val="0"/>
              </w:rPr>
              <w:tab/>
            </w:r>
            <w:r>
              <w:rPr>
                <w:spacing w:val="-10"/>
              </w:rPr>
              <w:t>8</w:t>
            </w:r>
          </w:hyperlink>
        </w:p>
        <w:p>
          <w:pPr>
            <w:pStyle w:val="TOC3"/>
            <w:tabs>
              <w:tab w:pos="9178" w:val="right" w:leader="dot"/>
            </w:tabs>
          </w:pPr>
          <w:hyperlink w:history="true" w:anchor="_TOC_250015">
            <w:r>
              <w:rPr/>
              <w:t>Miembros</w:t>
            </w:r>
            <w:r>
              <w:rPr>
                <w:spacing w:val="-7"/>
              </w:rPr>
              <w:t> </w:t>
            </w:r>
            <w:r>
              <w:rPr/>
              <w:t>de</w:t>
            </w:r>
            <w:r>
              <w:rPr>
                <w:spacing w:val="-5"/>
              </w:rPr>
              <w:t> </w:t>
            </w:r>
            <w:r>
              <w:rPr/>
              <w:t>la</w:t>
            </w:r>
            <w:r>
              <w:rPr>
                <w:spacing w:val="-4"/>
              </w:rPr>
              <w:t> </w:t>
            </w:r>
            <w:r>
              <w:rPr/>
              <w:t>Junta</w:t>
            </w:r>
            <w:r>
              <w:rPr>
                <w:spacing w:val="-4"/>
              </w:rPr>
              <w:t> </w:t>
            </w:r>
            <w:r>
              <w:rPr/>
              <w:t>de</w:t>
            </w:r>
            <w:r>
              <w:rPr>
                <w:spacing w:val="-14"/>
              </w:rPr>
              <w:t> </w:t>
            </w:r>
            <w:r>
              <w:rPr>
                <w:spacing w:val="-2"/>
              </w:rPr>
              <w:t>Gobierno</w:t>
            </w:r>
            <w:r>
              <w:rPr>
                <w:rFonts w:ascii="Times New Roman"/>
              </w:rPr>
              <w:tab/>
            </w:r>
            <w:r>
              <w:rPr>
                <w:spacing w:val="-10"/>
              </w:rPr>
              <w:t>8</w:t>
            </w:r>
          </w:hyperlink>
        </w:p>
        <w:p>
          <w:pPr>
            <w:pStyle w:val="TOC1"/>
            <w:tabs>
              <w:tab w:pos="9177" w:val="right" w:leader="dot"/>
            </w:tabs>
          </w:pPr>
          <w:hyperlink w:history="true" w:anchor="_TOC_250014">
            <w:r>
              <w:rPr>
                <w:spacing w:val="-2"/>
              </w:rPr>
              <w:t>SESIONES</w:t>
            </w:r>
            <w:r>
              <w:rPr>
                <w:spacing w:val="-12"/>
              </w:rPr>
              <w:t> </w:t>
            </w:r>
            <w:r>
              <w:rPr>
                <w:spacing w:val="-2"/>
              </w:rPr>
              <w:t>CELEBRADAS</w:t>
            </w:r>
            <w:r>
              <w:rPr>
                <w:rFonts w:ascii="Times New Roman"/>
                <w:b w:val="0"/>
              </w:rPr>
              <w:tab/>
            </w:r>
            <w:r>
              <w:rPr>
                <w:spacing w:val="-10"/>
              </w:rPr>
              <w:t>9</w:t>
            </w:r>
          </w:hyperlink>
        </w:p>
        <w:p>
          <w:pPr>
            <w:pStyle w:val="TOC3"/>
            <w:tabs>
              <w:tab w:pos="9177" w:val="right" w:leader="dot"/>
            </w:tabs>
          </w:pPr>
          <w:hyperlink w:history="true" w:anchor="_TOC_250013">
            <w:r>
              <w:rPr/>
              <w:t>Pleno</w:t>
            </w:r>
            <w:r>
              <w:rPr>
                <w:spacing w:val="-9"/>
              </w:rPr>
              <w:t> </w:t>
            </w:r>
            <w:r>
              <w:rPr/>
              <w:t>del</w:t>
            </w:r>
            <w:r>
              <w:rPr>
                <w:spacing w:val="-5"/>
              </w:rPr>
              <w:t> </w:t>
            </w:r>
            <w:r>
              <w:rPr/>
              <w:t>Consejo</w:t>
            </w:r>
            <w:r>
              <w:rPr>
                <w:spacing w:val="-17"/>
              </w:rPr>
              <w:t> </w:t>
            </w:r>
            <w:r>
              <w:rPr>
                <w:spacing w:val="-2"/>
              </w:rPr>
              <w:t>General</w:t>
            </w:r>
            <w:r>
              <w:rPr>
                <w:rFonts w:ascii="Times New Roman"/>
              </w:rPr>
              <w:tab/>
            </w:r>
            <w:r>
              <w:rPr>
                <w:spacing w:val="-10"/>
              </w:rPr>
              <w:t>9</w:t>
            </w:r>
          </w:hyperlink>
        </w:p>
        <w:p>
          <w:pPr>
            <w:pStyle w:val="TOC3"/>
            <w:tabs>
              <w:tab w:pos="9178" w:val="right" w:leader="dot"/>
            </w:tabs>
            <w:spacing w:before="121"/>
          </w:pPr>
          <w:hyperlink w:history="true" w:anchor="_TOC_250012">
            <w:r>
              <w:rPr/>
              <w:t>Reunión</w:t>
            </w:r>
            <w:r>
              <w:rPr>
                <w:spacing w:val="-8"/>
              </w:rPr>
              <w:t> </w:t>
            </w:r>
            <w:r>
              <w:rPr/>
              <w:t>Asociación</w:t>
            </w:r>
            <w:r>
              <w:rPr>
                <w:spacing w:val="-8"/>
              </w:rPr>
              <w:t> </w:t>
            </w:r>
            <w:r>
              <w:rPr/>
              <w:t>Colegios</w:t>
            </w:r>
            <w:r>
              <w:rPr>
                <w:spacing w:val="-8"/>
              </w:rPr>
              <w:t> </w:t>
            </w:r>
            <w:r>
              <w:rPr/>
              <w:t>Profesionales</w:t>
            </w:r>
            <w:r>
              <w:rPr>
                <w:spacing w:val="-8"/>
              </w:rPr>
              <w:t> </w:t>
            </w:r>
            <w:r>
              <w:rPr/>
              <w:t>de</w:t>
            </w:r>
            <w:r>
              <w:rPr>
                <w:spacing w:val="-8"/>
              </w:rPr>
              <w:t> </w:t>
            </w:r>
            <w:r>
              <w:rPr>
                <w:spacing w:val="-2"/>
              </w:rPr>
              <w:t>Canarias</w:t>
            </w:r>
            <w:r>
              <w:rPr>
                <w:rFonts w:ascii="Times New Roman" w:hAnsi="Times New Roman"/>
              </w:rPr>
              <w:tab/>
            </w:r>
            <w:r>
              <w:rPr>
                <w:spacing w:val="-10"/>
              </w:rPr>
              <w:t>9</w:t>
            </w:r>
          </w:hyperlink>
        </w:p>
        <w:p>
          <w:pPr>
            <w:pStyle w:val="TOC1"/>
            <w:tabs>
              <w:tab w:pos="9177" w:val="right" w:leader="dot"/>
            </w:tabs>
            <w:spacing w:before="245"/>
          </w:pPr>
          <w:hyperlink w:history="true" w:anchor="_TOC_250011">
            <w:r>
              <w:rPr>
                <w:spacing w:val="-2"/>
              </w:rPr>
              <w:t>ADMINISTRACIÓN</w:t>
            </w:r>
            <w:r>
              <w:rPr>
                <w:rFonts w:ascii="Times New Roman" w:hAnsi="Times New Roman"/>
                <w:b w:val="0"/>
              </w:rPr>
              <w:tab/>
            </w:r>
            <w:r>
              <w:rPr>
                <w:spacing w:val="-5"/>
              </w:rPr>
              <w:t>10</w:t>
            </w:r>
          </w:hyperlink>
        </w:p>
        <w:p>
          <w:pPr>
            <w:pStyle w:val="TOC1"/>
            <w:tabs>
              <w:tab w:pos="9177" w:val="right" w:leader="dot"/>
            </w:tabs>
          </w:pPr>
          <w:hyperlink w:history="true" w:anchor="_TOC_250010">
            <w:r>
              <w:rPr>
                <w:spacing w:val="-2"/>
              </w:rPr>
              <w:t>TRANSPARENCIA</w:t>
            </w:r>
            <w:r>
              <w:rPr>
                <w:rFonts w:ascii="Times New Roman"/>
                <w:b w:val="0"/>
              </w:rPr>
              <w:tab/>
            </w:r>
            <w:r>
              <w:rPr>
                <w:spacing w:val="-5"/>
              </w:rPr>
              <w:t>10</w:t>
            </w:r>
          </w:hyperlink>
        </w:p>
        <w:p>
          <w:pPr>
            <w:pStyle w:val="TOC1"/>
            <w:tabs>
              <w:tab w:pos="9177" w:val="right" w:leader="dot"/>
            </w:tabs>
            <w:spacing w:before="246"/>
          </w:pPr>
          <w:hyperlink w:history="true" w:anchor="_TOC_250009">
            <w:r>
              <w:rPr/>
              <w:t>CENSO</w:t>
            </w:r>
            <w:r>
              <w:rPr>
                <w:spacing w:val="-9"/>
              </w:rPr>
              <w:t> </w:t>
            </w:r>
            <w:r>
              <w:rPr/>
              <w:t>DE</w:t>
            </w:r>
            <w:r>
              <w:rPr>
                <w:spacing w:val="-17"/>
              </w:rPr>
              <w:t> </w:t>
            </w:r>
            <w:r>
              <w:rPr>
                <w:spacing w:val="-2"/>
              </w:rPr>
              <w:t>COLEGIADOS</w:t>
            </w:r>
            <w:r>
              <w:rPr>
                <w:rFonts w:ascii="Times New Roman"/>
                <w:b w:val="0"/>
              </w:rPr>
              <w:tab/>
            </w:r>
            <w:r>
              <w:rPr>
                <w:spacing w:val="-5"/>
              </w:rPr>
              <w:t>11</w:t>
            </w:r>
          </w:hyperlink>
        </w:p>
        <w:p>
          <w:pPr>
            <w:pStyle w:val="TOC1"/>
            <w:tabs>
              <w:tab w:pos="9177" w:val="right" w:leader="dot"/>
            </w:tabs>
            <w:spacing w:before="240"/>
          </w:pPr>
          <w:hyperlink w:history="true" w:anchor="_TOC_250008">
            <w:r>
              <w:rPr>
                <w:spacing w:val="-2"/>
              </w:rPr>
              <w:t>CONVENIOS </w:t>
            </w:r>
            <w:r>
              <w:rPr>
                <w:spacing w:val="-4"/>
              </w:rPr>
              <w:t>2025</w:t>
            </w:r>
            <w:r>
              <w:rPr>
                <w:rFonts w:ascii="Times New Roman"/>
                <w:b w:val="0"/>
              </w:rPr>
              <w:tab/>
            </w:r>
            <w:r>
              <w:rPr>
                <w:spacing w:val="-5"/>
              </w:rPr>
              <w:t>11</w:t>
            </w:r>
          </w:hyperlink>
        </w:p>
        <w:p>
          <w:pPr>
            <w:pStyle w:val="TOC1"/>
            <w:tabs>
              <w:tab w:pos="9177" w:val="right" w:leader="dot"/>
            </w:tabs>
            <w:spacing w:before="246"/>
          </w:pPr>
          <w:hyperlink w:history="true" w:anchor="_TOC_250007">
            <w:r>
              <w:rPr/>
              <w:t>RESUMEN</w:t>
            </w:r>
            <w:r>
              <w:rPr>
                <w:spacing w:val="-6"/>
              </w:rPr>
              <w:t> </w:t>
            </w:r>
            <w:r>
              <w:rPr/>
              <w:t>DE</w:t>
            </w:r>
            <w:r>
              <w:rPr>
                <w:spacing w:val="-7"/>
              </w:rPr>
              <w:t> </w:t>
            </w:r>
            <w:r>
              <w:rPr>
                <w:spacing w:val="-2"/>
              </w:rPr>
              <w:t>ACTIVIDADES</w:t>
            </w:r>
            <w:r>
              <w:rPr>
                <w:rFonts w:ascii="Times New Roman"/>
                <w:b w:val="0"/>
              </w:rPr>
              <w:tab/>
            </w:r>
            <w:r>
              <w:rPr>
                <w:spacing w:val="-5"/>
              </w:rPr>
              <w:t>14</w:t>
            </w:r>
          </w:hyperlink>
        </w:p>
        <w:p>
          <w:pPr>
            <w:pStyle w:val="TOC1"/>
            <w:tabs>
              <w:tab w:pos="9177" w:val="right" w:leader="dot"/>
            </w:tabs>
            <w:spacing w:before="240"/>
          </w:pPr>
          <w:hyperlink w:history="true" w:anchor="_TOC_250006">
            <w:r>
              <w:rPr/>
              <w:t>INFORMES</w:t>
            </w:r>
            <w:r>
              <w:rPr>
                <w:spacing w:val="-12"/>
              </w:rPr>
              <w:t> </w:t>
            </w:r>
            <w:r>
              <w:rPr/>
              <w:t>DE</w:t>
            </w:r>
            <w:r>
              <w:rPr>
                <w:spacing w:val="-10"/>
              </w:rPr>
              <w:t> </w:t>
            </w:r>
            <w:r>
              <w:rPr/>
              <w:t>TESORERÍA</w:t>
            </w:r>
            <w:r>
              <w:rPr>
                <w:spacing w:val="-15"/>
              </w:rPr>
              <w:t> </w:t>
            </w:r>
            <w:r>
              <w:rPr>
                <w:spacing w:val="-4"/>
              </w:rPr>
              <w:t>2025</w:t>
            </w:r>
            <w:r>
              <w:rPr>
                <w:rFonts w:ascii="Times New Roman" w:hAnsi="Times New Roman"/>
                <w:b w:val="0"/>
              </w:rPr>
              <w:tab/>
            </w:r>
            <w:r>
              <w:rPr>
                <w:spacing w:val="-5"/>
              </w:rPr>
              <w:t>30</w:t>
            </w:r>
          </w:hyperlink>
        </w:p>
        <w:p>
          <w:pPr>
            <w:pStyle w:val="TOC2"/>
            <w:tabs>
              <w:tab w:pos="9177" w:val="right" w:leader="dot"/>
            </w:tabs>
          </w:pPr>
          <w:hyperlink w:history="true" w:anchor="_TOC_250005">
            <w:r>
              <w:rPr/>
              <w:t>RESUMEN</w:t>
            </w:r>
            <w:r>
              <w:rPr>
                <w:spacing w:val="-6"/>
              </w:rPr>
              <w:t> </w:t>
            </w:r>
            <w:r>
              <w:rPr/>
              <w:t>DE</w:t>
            </w:r>
            <w:r>
              <w:rPr>
                <w:spacing w:val="-6"/>
              </w:rPr>
              <w:t> </w:t>
            </w:r>
            <w:r>
              <w:rPr/>
              <w:t>GASTOS</w:t>
            </w:r>
            <w:r>
              <w:rPr>
                <w:spacing w:val="-6"/>
              </w:rPr>
              <w:t> </w:t>
            </w:r>
            <w:r>
              <w:rPr>
                <w:spacing w:val="-4"/>
              </w:rPr>
              <w:t>2025</w:t>
            </w:r>
            <w:r>
              <w:rPr>
                <w:rFonts w:ascii="Times New Roman"/>
              </w:rPr>
              <w:tab/>
            </w:r>
            <w:r>
              <w:rPr>
                <w:spacing w:val="-5"/>
              </w:rPr>
              <w:t>30</w:t>
            </w:r>
          </w:hyperlink>
        </w:p>
        <w:p>
          <w:pPr>
            <w:pStyle w:val="TOC2"/>
            <w:tabs>
              <w:tab w:pos="9177" w:val="right" w:leader="dot"/>
            </w:tabs>
            <w:spacing w:before="120"/>
          </w:pPr>
          <w:hyperlink w:history="true" w:anchor="_TOC_250004">
            <w:r>
              <w:rPr/>
              <w:t>RESUMEN</w:t>
            </w:r>
            <w:r>
              <w:rPr>
                <w:spacing w:val="-9"/>
              </w:rPr>
              <w:t> </w:t>
            </w:r>
            <w:r>
              <w:rPr/>
              <w:t>INGRESOS</w:t>
            </w:r>
            <w:r>
              <w:rPr>
                <w:spacing w:val="-9"/>
              </w:rPr>
              <w:t> </w:t>
            </w:r>
            <w:r>
              <w:rPr>
                <w:spacing w:val="-4"/>
              </w:rPr>
              <w:t>2025</w:t>
            </w:r>
            <w:r>
              <w:rPr>
                <w:rFonts w:ascii="Times New Roman"/>
              </w:rPr>
              <w:tab/>
            </w:r>
            <w:r>
              <w:rPr>
                <w:spacing w:val="-5"/>
              </w:rPr>
              <w:t>31</w:t>
            </w:r>
          </w:hyperlink>
        </w:p>
        <w:p>
          <w:pPr>
            <w:pStyle w:val="TOC2"/>
            <w:tabs>
              <w:tab w:pos="9177" w:val="right" w:leader="dot"/>
            </w:tabs>
          </w:pPr>
          <w:hyperlink w:history="true" w:anchor="_TOC_250003">
            <w:r>
              <w:rPr/>
              <w:t>RESULTADOS</w:t>
            </w:r>
            <w:r>
              <w:rPr>
                <w:spacing w:val="-10"/>
              </w:rPr>
              <w:t> </w:t>
            </w:r>
            <w:r>
              <w:rPr/>
              <w:t>BALANCE</w:t>
            </w:r>
            <w:r>
              <w:rPr>
                <w:spacing w:val="-9"/>
              </w:rPr>
              <w:t> </w:t>
            </w:r>
            <w:r>
              <w:rPr/>
              <w:t>INGRESOS-</w:t>
            </w:r>
            <w:r>
              <w:rPr>
                <w:spacing w:val="-10"/>
              </w:rPr>
              <w:t> </w:t>
            </w:r>
            <w:r>
              <w:rPr/>
              <w:t>GASTOS</w:t>
            </w:r>
            <w:r>
              <w:rPr>
                <w:spacing w:val="-9"/>
              </w:rPr>
              <w:t> </w:t>
            </w:r>
            <w:r>
              <w:rPr>
                <w:spacing w:val="-4"/>
              </w:rPr>
              <w:t>2025</w:t>
            </w:r>
            <w:r>
              <w:rPr>
                <w:rFonts w:ascii="Times New Roman"/>
              </w:rPr>
              <w:tab/>
            </w:r>
            <w:r>
              <w:rPr>
                <w:spacing w:val="-5"/>
              </w:rPr>
              <w:t>32</w:t>
            </w:r>
          </w:hyperlink>
        </w:p>
        <w:p>
          <w:pPr>
            <w:pStyle w:val="TOC1"/>
            <w:tabs>
              <w:tab w:pos="9177" w:val="right" w:leader="dot"/>
            </w:tabs>
          </w:pPr>
          <w:hyperlink w:history="true" w:anchor="_TOC_250002">
            <w:r>
              <w:rPr>
                <w:spacing w:val="-2"/>
              </w:rPr>
              <w:t>PRESUPUESTO</w:t>
            </w:r>
            <w:r>
              <w:rPr>
                <w:spacing w:val="-14"/>
              </w:rPr>
              <w:t> </w:t>
            </w:r>
            <w:r>
              <w:rPr>
                <w:spacing w:val="-4"/>
              </w:rPr>
              <w:t>2026</w:t>
            </w:r>
            <w:r>
              <w:rPr>
                <w:rFonts w:ascii="Times New Roman"/>
                <w:b w:val="0"/>
              </w:rPr>
              <w:tab/>
            </w:r>
            <w:r>
              <w:rPr>
                <w:spacing w:val="-5"/>
              </w:rPr>
              <w:t>33</w:t>
            </w:r>
          </w:hyperlink>
        </w:p>
        <w:p>
          <w:pPr>
            <w:pStyle w:val="TOC2"/>
            <w:tabs>
              <w:tab w:pos="9177" w:val="right" w:leader="dot"/>
            </w:tabs>
            <w:spacing w:before="125"/>
          </w:pPr>
          <w:hyperlink w:history="true" w:anchor="_TOC_250001">
            <w:r>
              <w:rPr/>
              <w:t>PARTIDA</w:t>
            </w:r>
            <w:r>
              <w:rPr>
                <w:spacing w:val="-10"/>
              </w:rPr>
              <w:t> </w:t>
            </w:r>
            <w:r>
              <w:rPr/>
              <w:t>DE</w:t>
            </w:r>
            <w:r>
              <w:rPr>
                <w:spacing w:val="-11"/>
              </w:rPr>
              <w:t> </w:t>
            </w:r>
            <w:r>
              <w:rPr>
                <w:spacing w:val="-2"/>
              </w:rPr>
              <w:t>GASTOS</w:t>
            </w:r>
            <w:r>
              <w:rPr>
                <w:rFonts w:ascii="Times New Roman"/>
              </w:rPr>
              <w:tab/>
            </w:r>
            <w:r>
              <w:rPr>
                <w:spacing w:val="-5"/>
              </w:rPr>
              <w:t>33</w:t>
            </w:r>
          </w:hyperlink>
        </w:p>
        <w:p>
          <w:pPr>
            <w:pStyle w:val="TOC2"/>
            <w:tabs>
              <w:tab w:pos="9177" w:val="right" w:leader="dot"/>
            </w:tabs>
            <w:spacing w:before="121"/>
          </w:pPr>
          <w:hyperlink w:history="true" w:anchor="_TOC_250000">
            <w:r>
              <w:rPr/>
              <w:t>PARTIDA</w:t>
            </w:r>
            <w:r>
              <w:rPr>
                <w:spacing w:val="-7"/>
              </w:rPr>
              <w:t> </w:t>
            </w:r>
            <w:r>
              <w:rPr/>
              <w:t>DE</w:t>
            </w:r>
            <w:r>
              <w:rPr>
                <w:spacing w:val="-11"/>
              </w:rPr>
              <w:t> </w:t>
            </w:r>
            <w:r>
              <w:rPr>
                <w:spacing w:val="-2"/>
              </w:rPr>
              <w:t>INGRESOS</w:t>
            </w:r>
            <w:r>
              <w:rPr>
                <w:rFonts w:ascii="Times New Roman"/>
              </w:rPr>
              <w:tab/>
            </w:r>
            <w:r>
              <w:rPr>
                <w:spacing w:val="-5"/>
              </w:rPr>
              <w:t>34</w:t>
            </w:r>
          </w:hyperlink>
        </w:p>
        <w:p>
          <w:pPr/>
          <w:r>
            <w:fldChar w:fldCharType="end"/>
          </w:r>
        </w:p>
      </w:sdtContent>
    </w:sdt>
    <w:p>
      <w:pPr>
        <w:spacing w:after="0"/>
        <w:sectPr>
          <w:pgSz w:w="11900" w:h="16840"/>
          <w:pgMar w:header="0" w:footer="468" w:top="1220" w:bottom="660" w:left="1275" w:right="283"/>
        </w:sectPr>
      </w:pPr>
    </w:p>
    <w:p>
      <w:pPr>
        <w:pStyle w:val="Heading1"/>
        <w:spacing w:before="78"/>
        <w:jc w:val="both"/>
        <w:rPr>
          <w:b w:val="0"/>
        </w:rPr>
      </w:pPr>
      <w:bookmarkStart w:name="_TOC_250017" w:id="2"/>
      <w:r>
        <w:rPr>
          <w:b w:val="0"/>
        </w:rPr>
        <w:t>INFORME</w:t>
      </w:r>
      <w:r>
        <w:rPr>
          <w:b w:val="0"/>
          <w:spacing w:val="-4"/>
        </w:rPr>
        <w:t> </w:t>
      </w:r>
      <w:r>
        <w:rPr>
          <w:b w:val="0"/>
        </w:rPr>
        <w:t>DE</w:t>
      </w:r>
      <w:r>
        <w:rPr>
          <w:b w:val="0"/>
          <w:spacing w:val="-3"/>
        </w:rPr>
        <w:t> </w:t>
      </w:r>
      <w:r>
        <w:rPr>
          <w:b w:val="0"/>
        </w:rPr>
        <w:t>LA</w:t>
      </w:r>
      <w:r>
        <w:rPr>
          <w:b w:val="0"/>
          <w:spacing w:val="-13"/>
        </w:rPr>
        <w:t> </w:t>
      </w:r>
      <w:bookmarkEnd w:id="2"/>
      <w:r>
        <w:rPr>
          <w:b w:val="0"/>
          <w:spacing w:val="-2"/>
        </w:rPr>
        <w:t>DECANA</w:t>
      </w:r>
    </w:p>
    <w:p>
      <w:pPr>
        <w:pStyle w:val="BodyText"/>
        <w:spacing w:line="360" w:lineRule="auto" w:before="356"/>
        <w:ind w:left="328" w:right="1275"/>
        <w:jc w:val="both"/>
      </w:pPr>
      <w:r>
        <w:rPr/>
        <w:t>Me complace presentar la Memoria Anual del Colegio Oficial de Químicos de Canarias correspondiente al ejercicio 2025. El presente documento recoge los principales ejes de actuación</w:t>
      </w:r>
      <w:r>
        <w:rPr>
          <w:spacing w:val="-12"/>
        </w:rPr>
        <w:t> </w:t>
      </w:r>
      <w:r>
        <w:rPr/>
        <w:t>desarrollados</w:t>
      </w:r>
      <w:r>
        <w:rPr>
          <w:spacing w:val="-12"/>
        </w:rPr>
        <w:t> </w:t>
      </w:r>
      <w:r>
        <w:rPr/>
        <w:t>durante</w:t>
      </w:r>
      <w:r>
        <w:rPr>
          <w:spacing w:val="-11"/>
        </w:rPr>
        <w:t> </w:t>
      </w:r>
      <w:r>
        <w:rPr/>
        <w:t>el</w:t>
      </w:r>
      <w:r>
        <w:rPr>
          <w:spacing w:val="-12"/>
        </w:rPr>
        <w:t> </w:t>
      </w:r>
      <w:r>
        <w:rPr/>
        <w:t>año,</w:t>
      </w:r>
      <w:r>
        <w:rPr>
          <w:spacing w:val="-12"/>
        </w:rPr>
        <w:t> </w:t>
      </w:r>
      <w:r>
        <w:rPr/>
        <w:t>así</w:t>
      </w:r>
      <w:r>
        <w:rPr>
          <w:spacing w:val="-12"/>
        </w:rPr>
        <w:t> </w:t>
      </w:r>
      <w:r>
        <w:rPr/>
        <w:t>como</w:t>
      </w:r>
      <w:r>
        <w:rPr>
          <w:spacing w:val="-12"/>
        </w:rPr>
        <w:t> </w:t>
      </w:r>
      <w:r>
        <w:rPr/>
        <w:t>los</w:t>
      </w:r>
      <w:r>
        <w:rPr>
          <w:spacing w:val="-12"/>
        </w:rPr>
        <w:t> </w:t>
      </w:r>
      <w:r>
        <w:rPr/>
        <w:t>avances</w:t>
      </w:r>
      <w:r>
        <w:rPr>
          <w:spacing w:val="-12"/>
        </w:rPr>
        <w:t> </w:t>
      </w:r>
      <w:r>
        <w:rPr/>
        <w:t>organizativos,</w:t>
      </w:r>
      <w:r>
        <w:rPr>
          <w:spacing w:val="-12"/>
        </w:rPr>
        <w:t> </w:t>
      </w:r>
      <w:r>
        <w:rPr/>
        <w:t>institucionales y estratégicos que han permitido continuar fortaleciendo la presencia y relevancia de la profesión química en nuestro Archipiélago.</w:t>
      </w:r>
    </w:p>
    <w:p>
      <w:pPr>
        <w:pStyle w:val="BodyText"/>
        <w:spacing w:line="360" w:lineRule="auto" w:before="1"/>
        <w:ind w:left="328" w:right="1274"/>
        <w:jc w:val="both"/>
      </w:pPr>
      <w:r>
        <w:rPr/>
        <w:t>El</w:t>
      </w:r>
      <w:r>
        <w:rPr>
          <w:spacing w:val="-11"/>
        </w:rPr>
        <w:t> </w:t>
      </w:r>
      <w:r>
        <w:rPr/>
        <w:t>Colegio</w:t>
      </w:r>
      <w:r>
        <w:rPr>
          <w:spacing w:val="-11"/>
        </w:rPr>
        <w:t> </w:t>
      </w:r>
      <w:r>
        <w:rPr/>
        <w:t>cierra</w:t>
      </w:r>
      <w:r>
        <w:rPr>
          <w:spacing w:val="-11"/>
        </w:rPr>
        <w:t> </w:t>
      </w:r>
      <w:r>
        <w:rPr/>
        <w:t>el</w:t>
      </w:r>
      <w:r>
        <w:rPr>
          <w:spacing w:val="-11"/>
        </w:rPr>
        <w:t> </w:t>
      </w:r>
      <w:r>
        <w:rPr/>
        <w:t>ejercicio</w:t>
      </w:r>
      <w:r>
        <w:rPr>
          <w:spacing w:val="-11"/>
        </w:rPr>
        <w:t> </w:t>
      </w:r>
      <w:r>
        <w:rPr/>
        <w:t>con</w:t>
      </w:r>
      <w:r>
        <w:rPr>
          <w:spacing w:val="-9"/>
        </w:rPr>
        <w:t> </w:t>
      </w:r>
      <w:r>
        <w:rPr/>
        <w:t>92</w:t>
      </w:r>
      <w:r>
        <w:rPr>
          <w:spacing w:val="-11"/>
        </w:rPr>
        <w:t> </w:t>
      </w:r>
      <w:r>
        <w:rPr/>
        <w:t>colegiados</w:t>
      </w:r>
      <w:r>
        <w:rPr>
          <w:spacing w:val="-11"/>
        </w:rPr>
        <w:t> </w:t>
      </w:r>
      <w:r>
        <w:rPr/>
        <w:t>ejercientes,</w:t>
      </w:r>
      <w:r>
        <w:rPr>
          <w:spacing w:val="-11"/>
        </w:rPr>
        <w:t> </w:t>
      </w:r>
      <w:r>
        <w:rPr/>
        <w:t>41</w:t>
      </w:r>
      <w:r>
        <w:rPr>
          <w:spacing w:val="-11"/>
        </w:rPr>
        <w:t> </w:t>
      </w:r>
      <w:r>
        <w:rPr/>
        <w:t>no</w:t>
      </w:r>
      <w:r>
        <w:rPr>
          <w:spacing w:val="-11"/>
        </w:rPr>
        <w:t> </w:t>
      </w:r>
      <w:r>
        <w:rPr/>
        <w:t>ejercientes</w:t>
      </w:r>
      <w:r>
        <w:rPr>
          <w:spacing w:val="-11"/>
        </w:rPr>
        <w:t> </w:t>
      </w:r>
      <w:r>
        <w:rPr/>
        <w:t>y</w:t>
      </w:r>
      <w:r>
        <w:rPr>
          <w:spacing w:val="-11"/>
        </w:rPr>
        <w:t> </w:t>
      </w:r>
      <w:r>
        <w:rPr/>
        <w:t>19</w:t>
      </w:r>
      <w:r>
        <w:rPr>
          <w:spacing w:val="-10"/>
        </w:rPr>
        <w:t> </w:t>
      </w:r>
      <w:r>
        <w:rPr/>
        <w:t>jubilados. Este equilibrio numérico mantiene estable la cifra global, pero pone de manifiesto un aspecto que debe ocupar nuestra atención: la dificultad para retener a profesionales jóvenes en los primeros años de ejercicio y el progresivo incremento del número de colegiados que alcanzan la jubilación. Esta realidad nos interpela como institución y nos obliga</w:t>
      </w:r>
      <w:r>
        <w:rPr>
          <w:spacing w:val="-14"/>
        </w:rPr>
        <w:t> </w:t>
      </w:r>
      <w:r>
        <w:rPr/>
        <w:t>a</w:t>
      </w:r>
      <w:r>
        <w:rPr>
          <w:spacing w:val="-14"/>
        </w:rPr>
        <w:t> </w:t>
      </w:r>
      <w:r>
        <w:rPr/>
        <w:t>reforzar</w:t>
      </w:r>
      <w:r>
        <w:rPr>
          <w:spacing w:val="-13"/>
        </w:rPr>
        <w:t> </w:t>
      </w:r>
      <w:r>
        <w:rPr/>
        <w:t>las</w:t>
      </w:r>
      <w:r>
        <w:rPr>
          <w:spacing w:val="-14"/>
        </w:rPr>
        <w:t> </w:t>
      </w:r>
      <w:r>
        <w:rPr/>
        <w:t>estrategias</w:t>
      </w:r>
      <w:r>
        <w:rPr>
          <w:spacing w:val="-13"/>
        </w:rPr>
        <w:t> </w:t>
      </w:r>
      <w:r>
        <w:rPr/>
        <w:t>de</w:t>
      </w:r>
      <w:r>
        <w:rPr>
          <w:spacing w:val="-14"/>
        </w:rPr>
        <w:t> </w:t>
      </w:r>
      <w:r>
        <w:rPr/>
        <w:t>acompañamiento,</w:t>
      </w:r>
      <w:r>
        <w:rPr>
          <w:spacing w:val="-13"/>
        </w:rPr>
        <w:t> </w:t>
      </w:r>
      <w:r>
        <w:rPr/>
        <w:t>valor</w:t>
      </w:r>
      <w:r>
        <w:rPr>
          <w:spacing w:val="-14"/>
        </w:rPr>
        <w:t> </w:t>
      </w:r>
      <w:r>
        <w:rPr/>
        <w:t>añadido</w:t>
      </w:r>
      <w:r>
        <w:rPr>
          <w:spacing w:val="-14"/>
        </w:rPr>
        <w:t> </w:t>
      </w:r>
      <w:r>
        <w:rPr/>
        <w:t>y</w:t>
      </w:r>
      <w:r>
        <w:rPr>
          <w:spacing w:val="-13"/>
        </w:rPr>
        <w:t> </w:t>
      </w:r>
      <w:r>
        <w:rPr/>
        <w:t>vinculación</w:t>
      </w:r>
      <w:r>
        <w:rPr>
          <w:spacing w:val="-14"/>
        </w:rPr>
        <w:t> </w:t>
      </w:r>
      <w:r>
        <w:rPr/>
        <w:t>temprana con los recién titulados, al tiempo que reconocemos y agradecemos la trayectoria de quienes han dedicado décadas al ejercicio profesional bajo el amparo del Colegio.</w:t>
      </w:r>
    </w:p>
    <w:p>
      <w:pPr>
        <w:pStyle w:val="BodyText"/>
        <w:spacing w:before="146"/>
      </w:pPr>
    </w:p>
    <w:p>
      <w:pPr>
        <w:pStyle w:val="Heading5"/>
        <w:spacing w:before="1"/>
      </w:pPr>
      <w:r>
        <w:rPr/>
        <w:t>Fortalecimiento organizativo y gestión </w:t>
      </w:r>
      <w:r>
        <w:rPr>
          <w:spacing w:val="-2"/>
        </w:rPr>
        <w:t>responsable</w:t>
      </w:r>
    </w:p>
    <w:p>
      <w:pPr>
        <w:pStyle w:val="BodyText"/>
        <w:spacing w:line="360" w:lineRule="auto" w:before="144"/>
        <w:ind w:left="328" w:right="1274"/>
        <w:jc w:val="both"/>
      </w:pPr>
      <w:r>
        <w:rPr/>
        <w:t>El año 2025 ha supuesto un paso importante en la consolidación interna del Colegio. Se incorporó un auxiliar administrativo mediante contrato temporal y una becaria en prácticas</w:t>
      </w:r>
      <w:r>
        <w:rPr>
          <w:spacing w:val="-11"/>
        </w:rPr>
        <w:t> </w:t>
      </w:r>
      <w:r>
        <w:rPr/>
        <w:t>de</w:t>
      </w:r>
      <w:r>
        <w:rPr>
          <w:spacing w:val="-11"/>
        </w:rPr>
        <w:t> </w:t>
      </w:r>
      <w:r>
        <w:rPr/>
        <w:t>Formación</w:t>
      </w:r>
      <w:r>
        <w:rPr>
          <w:spacing w:val="-11"/>
        </w:rPr>
        <w:t> </w:t>
      </w:r>
      <w:r>
        <w:rPr/>
        <w:t>Profesional,</w:t>
      </w:r>
      <w:r>
        <w:rPr>
          <w:spacing w:val="-11"/>
        </w:rPr>
        <w:t> </w:t>
      </w:r>
      <w:r>
        <w:rPr/>
        <w:t>reforzando</w:t>
      </w:r>
      <w:r>
        <w:rPr>
          <w:spacing w:val="-11"/>
        </w:rPr>
        <w:t> </w:t>
      </w:r>
      <w:r>
        <w:rPr/>
        <w:t>la</w:t>
      </w:r>
      <w:r>
        <w:rPr>
          <w:spacing w:val="-11"/>
        </w:rPr>
        <w:t> </w:t>
      </w:r>
      <w:r>
        <w:rPr/>
        <w:t>capacidad</w:t>
      </w:r>
      <w:r>
        <w:rPr>
          <w:spacing w:val="-11"/>
        </w:rPr>
        <w:t> </w:t>
      </w:r>
      <w:r>
        <w:rPr/>
        <w:t>operativa</w:t>
      </w:r>
      <w:r>
        <w:rPr>
          <w:spacing w:val="-11"/>
        </w:rPr>
        <w:t> </w:t>
      </w:r>
      <w:r>
        <w:rPr/>
        <w:t>de</w:t>
      </w:r>
      <w:r>
        <w:rPr>
          <w:spacing w:val="-11"/>
        </w:rPr>
        <w:t> </w:t>
      </w:r>
      <w:r>
        <w:rPr/>
        <w:t>la</w:t>
      </w:r>
      <w:r>
        <w:rPr>
          <w:spacing w:val="-11"/>
        </w:rPr>
        <w:t> </w:t>
      </w:r>
      <w:r>
        <w:rPr/>
        <w:t>institución.</w:t>
      </w:r>
      <w:r>
        <w:rPr>
          <w:spacing w:val="-9"/>
        </w:rPr>
        <w:t> </w:t>
      </w:r>
      <w:r>
        <w:rPr/>
        <w:t>En noviembre, el contrato del auxiliar fue transformado en indefinido, consolidando la estructura</w:t>
      </w:r>
      <w:r>
        <w:rPr>
          <w:spacing w:val="-11"/>
        </w:rPr>
        <w:t> </w:t>
      </w:r>
      <w:r>
        <w:rPr/>
        <w:t>administrativa</w:t>
      </w:r>
      <w:r>
        <w:rPr>
          <w:spacing w:val="-11"/>
        </w:rPr>
        <w:t> </w:t>
      </w:r>
      <w:r>
        <w:rPr/>
        <w:t>y</w:t>
      </w:r>
      <w:r>
        <w:rPr>
          <w:spacing w:val="-11"/>
        </w:rPr>
        <w:t> </w:t>
      </w:r>
      <w:r>
        <w:rPr/>
        <w:t>garantizando</w:t>
      </w:r>
      <w:r>
        <w:rPr>
          <w:spacing w:val="-11"/>
        </w:rPr>
        <w:t> </w:t>
      </w:r>
      <w:r>
        <w:rPr/>
        <w:t>continuidad</w:t>
      </w:r>
      <w:r>
        <w:rPr>
          <w:spacing w:val="-11"/>
        </w:rPr>
        <w:t> </w:t>
      </w:r>
      <w:r>
        <w:rPr/>
        <w:t>en</w:t>
      </w:r>
      <w:r>
        <w:rPr>
          <w:spacing w:val="-11"/>
        </w:rPr>
        <w:t> </w:t>
      </w:r>
      <w:r>
        <w:rPr/>
        <w:t>la</w:t>
      </w:r>
      <w:r>
        <w:rPr>
          <w:spacing w:val="-11"/>
        </w:rPr>
        <w:t> </w:t>
      </w:r>
      <w:r>
        <w:rPr/>
        <w:t>gestión</w:t>
      </w:r>
      <w:r>
        <w:rPr>
          <w:spacing w:val="-11"/>
        </w:rPr>
        <w:t> </w:t>
      </w:r>
      <w:r>
        <w:rPr/>
        <w:t>y</w:t>
      </w:r>
      <w:r>
        <w:rPr>
          <w:spacing w:val="-11"/>
        </w:rPr>
        <w:t> </w:t>
      </w:r>
      <w:r>
        <w:rPr/>
        <w:t>atención</w:t>
      </w:r>
      <w:r>
        <w:rPr>
          <w:spacing w:val="-11"/>
        </w:rPr>
        <w:t> </w:t>
      </w:r>
      <w:r>
        <w:rPr/>
        <w:t>al</w:t>
      </w:r>
      <w:r>
        <w:rPr>
          <w:spacing w:val="-11"/>
        </w:rPr>
        <w:t> </w:t>
      </w:r>
      <w:r>
        <w:rPr/>
        <w:t>colegiado. Desde</w:t>
      </w:r>
      <w:r>
        <w:rPr>
          <w:spacing w:val="-14"/>
        </w:rPr>
        <w:t> </w:t>
      </w:r>
      <w:r>
        <w:rPr/>
        <w:t>el</w:t>
      </w:r>
      <w:r>
        <w:rPr>
          <w:spacing w:val="-14"/>
        </w:rPr>
        <w:t> </w:t>
      </w:r>
      <w:r>
        <w:rPr/>
        <w:t>punto</w:t>
      </w:r>
      <w:r>
        <w:rPr>
          <w:spacing w:val="-13"/>
        </w:rPr>
        <w:t> </w:t>
      </w:r>
      <w:r>
        <w:rPr/>
        <w:t>de</w:t>
      </w:r>
      <w:r>
        <w:rPr>
          <w:spacing w:val="-14"/>
        </w:rPr>
        <w:t> </w:t>
      </w:r>
      <w:r>
        <w:rPr/>
        <w:t>vista</w:t>
      </w:r>
      <w:r>
        <w:rPr>
          <w:spacing w:val="-13"/>
        </w:rPr>
        <w:t> </w:t>
      </w:r>
      <w:r>
        <w:rPr/>
        <w:t>económico,</w:t>
      </w:r>
      <w:r>
        <w:rPr>
          <w:spacing w:val="-14"/>
        </w:rPr>
        <w:t> </w:t>
      </w:r>
      <w:r>
        <w:rPr/>
        <w:t>el</w:t>
      </w:r>
      <w:r>
        <w:rPr>
          <w:spacing w:val="-13"/>
        </w:rPr>
        <w:t> </w:t>
      </w:r>
      <w:r>
        <w:rPr/>
        <w:t>ejercicio</w:t>
      </w:r>
      <w:r>
        <w:rPr>
          <w:spacing w:val="-14"/>
        </w:rPr>
        <w:t> </w:t>
      </w:r>
      <w:r>
        <w:rPr/>
        <w:t>se</w:t>
      </w:r>
      <w:r>
        <w:rPr>
          <w:spacing w:val="-14"/>
        </w:rPr>
        <w:t> </w:t>
      </w:r>
      <w:r>
        <w:rPr/>
        <w:t>cierra</w:t>
      </w:r>
      <w:r>
        <w:rPr>
          <w:spacing w:val="-13"/>
        </w:rPr>
        <w:t> </w:t>
      </w:r>
      <w:r>
        <w:rPr/>
        <w:t>con</w:t>
      </w:r>
      <w:r>
        <w:rPr>
          <w:spacing w:val="-14"/>
        </w:rPr>
        <w:t> </w:t>
      </w:r>
      <w:r>
        <w:rPr/>
        <w:t>una</w:t>
      </w:r>
      <w:r>
        <w:rPr>
          <w:spacing w:val="-13"/>
        </w:rPr>
        <w:t> </w:t>
      </w:r>
      <w:r>
        <w:rPr/>
        <w:t>desviación</w:t>
      </w:r>
      <w:r>
        <w:rPr>
          <w:spacing w:val="-14"/>
        </w:rPr>
        <w:t> </w:t>
      </w:r>
      <w:r>
        <w:rPr/>
        <w:t>presupuestaria contenida de 1.038,81 euros, reflejo de una gestión prudente pese al elevado nivel de actividad</w:t>
      </w:r>
      <w:r>
        <w:rPr>
          <w:spacing w:val="-11"/>
        </w:rPr>
        <w:t> </w:t>
      </w:r>
      <w:r>
        <w:rPr/>
        <w:t>institucional</w:t>
      </w:r>
      <w:r>
        <w:rPr>
          <w:spacing w:val="-11"/>
        </w:rPr>
        <w:t> </w:t>
      </w:r>
      <w:r>
        <w:rPr/>
        <w:t>desarrollado</w:t>
      </w:r>
      <w:r>
        <w:rPr>
          <w:spacing w:val="-11"/>
        </w:rPr>
        <w:t> </w:t>
      </w:r>
      <w:r>
        <w:rPr/>
        <w:t>durante</w:t>
      </w:r>
      <w:r>
        <w:rPr>
          <w:spacing w:val="-11"/>
        </w:rPr>
        <w:t> </w:t>
      </w:r>
      <w:r>
        <w:rPr/>
        <w:t>el</w:t>
      </w:r>
      <w:r>
        <w:rPr>
          <w:spacing w:val="-11"/>
        </w:rPr>
        <w:t> </w:t>
      </w:r>
      <w:r>
        <w:rPr/>
        <w:t>año.</w:t>
      </w:r>
      <w:r>
        <w:rPr>
          <w:spacing w:val="-9"/>
        </w:rPr>
        <w:t> </w:t>
      </w:r>
      <w:r>
        <w:rPr/>
        <w:t>Estas</w:t>
      </w:r>
      <w:r>
        <w:rPr>
          <w:spacing w:val="-11"/>
        </w:rPr>
        <w:t> </w:t>
      </w:r>
      <w:r>
        <w:rPr/>
        <w:t>desviaciones</w:t>
      </w:r>
      <w:r>
        <w:rPr>
          <w:spacing w:val="-11"/>
        </w:rPr>
        <w:t> </w:t>
      </w:r>
      <w:r>
        <w:rPr/>
        <w:t>no</w:t>
      </w:r>
      <w:r>
        <w:rPr>
          <w:spacing w:val="-11"/>
        </w:rPr>
        <w:t> </w:t>
      </w:r>
      <w:r>
        <w:rPr/>
        <w:t>pueden</w:t>
      </w:r>
      <w:r>
        <w:rPr>
          <w:spacing w:val="-10"/>
        </w:rPr>
        <w:t> </w:t>
      </w:r>
      <w:r>
        <w:rPr/>
        <w:t>ni</w:t>
      </w:r>
      <w:r>
        <w:rPr>
          <w:spacing w:val="-11"/>
        </w:rPr>
        <w:t> </w:t>
      </w:r>
      <w:r>
        <w:rPr/>
        <w:t>deben sucederse de manera continuada, pero son necesarios para dar lograr los objetivos acorados a medio plazo. Mi compromiso es sentar las bases para no solo recuperar el equilibrio</w:t>
      </w:r>
      <w:r>
        <w:rPr>
          <w:spacing w:val="-10"/>
        </w:rPr>
        <w:t> </w:t>
      </w:r>
      <w:r>
        <w:rPr/>
        <w:t>presupuestario</w:t>
      </w:r>
      <w:r>
        <w:rPr>
          <w:spacing w:val="-9"/>
        </w:rPr>
        <w:t> </w:t>
      </w:r>
      <w:r>
        <w:rPr/>
        <w:t>en</w:t>
      </w:r>
      <w:r>
        <w:rPr>
          <w:spacing w:val="-10"/>
        </w:rPr>
        <w:t> </w:t>
      </w:r>
      <w:r>
        <w:rPr/>
        <w:t>los</w:t>
      </w:r>
      <w:r>
        <w:rPr>
          <w:spacing w:val="-10"/>
        </w:rPr>
        <w:t> </w:t>
      </w:r>
      <w:r>
        <w:rPr/>
        <w:t>próximos</w:t>
      </w:r>
      <w:r>
        <w:rPr>
          <w:spacing w:val="-10"/>
        </w:rPr>
        <w:t> </w:t>
      </w:r>
      <w:r>
        <w:rPr/>
        <w:t>ejercicios</w:t>
      </w:r>
      <w:r>
        <w:rPr>
          <w:spacing w:val="-10"/>
        </w:rPr>
        <w:t> </w:t>
      </w:r>
      <w:r>
        <w:rPr/>
        <w:t>si</w:t>
      </w:r>
      <w:r>
        <w:rPr>
          <w:spacing w:val="-10"/>
        </w:rPr>
        <w:t> </w:t>
      </w:r>
      <w:r>
        <w:rPr/>
        <w:t>no</w:t>
      </w:r>
      <w:r>
        <w:rPr>
          <w:spacing w:val="-10"/>
        </w:rPr>
        <w:t> </w:t>
      </w:r>
      <w:r>
        <w:rPr/>
        <w:t>conseguir</w:t>
      </w:r>
      <w:r>
        <w:rPr>
          <w:spacing w:val="-10"/>
        </w:rPr>
        <w:t> </w:t>
      </w:r>
      <w:r>
        <w:rPr/>
        <w:t>un</w:t>
      </w:r>
      <w:r>
        <w:rPr>
          <w:spacing w:val="-10"/>
        </w:rPr>
        <w:t> </w:t>
      </w:r>
      <w:r>
        <w:rPr/>
        <w:t>superávit</w:t>
      </w:r>
      <w:r>
        <w:rPr>
          <w:spacing w:val="-10"/>
        </w:rPr>
        <w:t> </w:t>
      </w:r>
      <w:r>
        <w:rPr/>
        <w:t>suficiente para compensar las desviaciones aprobadas.</w:t>
      </w:r>
    </w:p>
    <w:p>
      <w:pPr>
        <w:pStyle w:val="BodyText"/>
        <w:spacing w:before="150"/>
      </w:pPr>
    </w:p>
    <w:p>
      <w:pPr>
        <w:pStyle w:val="Heading5"/>
      </w:pPr>
      <w:r>
        <w:rPr/>
        <w:t>Educación</w:t>
      </w:r>
      <w:r>
        <w:rPr>
          <w:spacing w:val="-6"/>
        </w:rPr>
        <w:t> </w:t>
      </w:r>
      <w:r>
        <w:rPr/>
        <w:t>científica</w:t>
      </w:r>
      <w:r>
        <w:rPr>
          <w:spacing w:val="-4"/>
        </w:rPr>
        <w:t> </w:t>
      </w:r>
      <w:r>
        <w:rPr/>
        <w:t>y</w:t>
      </w:r>
      <w:r>
        <w:rPr>
          <w:spacing w:val="-3"/>
        </w:rPr>
        <w:t> </w:t>
      </w:r>
      <w:r>
        <w:rPr/>
        <w:t>promoción</w:t>
      </w:r>
      <w:r>
        <w:rPr>
          <w:spacing w:val="-4"/>
        </w:rPr>
        <w:t> </w:t>
      </w:r>
      <w:r>
        <w:rPr/>
        <w:t>del</w:t>
      </w:r>
      <w:r>
        <w:rPr>
          <w:spacing w:val="-3"/>
        </w:rPr>
        <w:t> </w:t>
      </w:r>
      <w:r>
        <w:rPr>
          <w:spacing w:val="-2"/>
        </w:rPr>
        <w:t>talento</w:t>
      </w:r>
    </w:p>
    <w:p>
      <w:pPr>
        <w:pStyle w:val="BodyText"/>
        <w:spacing w:line="362" w:lineRule="auto" w:before="144"/>
        <w:ind w:left="328" w:right="1275"/>
        <w:jc w:val="both"/>
      </w:pPr>
      <w:r>
        <w:rPr/>
        <w:t>La</w:t>
      </w:r>
      <w:r>
        <w:rPr>
          <w:spacing w:val="-9"/>
        </w:rPr>
        <w:t> </w:t>
      </w:r>
      <w:r>
        <w:rPr/>
        <w:t>II</w:t>
      </w:r>
      <w:r>
        <w:rPr>
          <w:spacing w:val="-9"/>
        </w:rPr>
        <w:t> </w:t>
      </w:r>
      <w:r>
        <w:rPr/>
        <w:t>Miniolimpiada</w:t>
      </w:r>
      <w:r>
        <w:rPr>
          <w:spacing w:val="-9"/>
        </w:rPr>
        <w:t> </w:t>
      </w:r>
      <w:r>
        <w:rPr/>
        <w:t>Canaria</w:t>
      </w:r>
      <w:r>
        <w:rPr>
          <w:spacing w:val="-9"/>
        </w:rPr>
        <w:t> </w:t>
      </w:r>
      <w:r>
        <w:rPr/>
        <w:t>de</w:t>
      </w:r>
      <w:r>
        <w:rPr>
          <w:spacing w:val="-9"/>
        </w:rPr>
        <w:t> </w:t>
      </w:r>
      <w:r>
        <w:rPr/>
        <w:t>Química</w:t>
      </w:r>
      <w:r>
        <w:rPr>
          <w:spacing w:val="-9"/>
        </w:rPr>
        <w:t> </w:t>
      </w:r>
      <w:r>
        <w:rPr/>
        <w:t>ha</w:t>
      </w:r>
      <w:r>
        <w:rPr>
          <w:spacing w:val="-9"/>
        </w:rPr>
        <w:t> </w:t>
      </w:r>
      <w:r>
        <w:rPr/>
        <w:t>quedado</w:t>
      </w:r>
      <w:r>
        <w:rPr>
          <w:spacing w:val="-9"/>
        </w:rPr>
        <w:t> </w:t>
      </w:r>
      <w:r>
        <w:rPr/>
        <w:t>plenamente</w:t>
      </w:r>
      <w:r>
        <w:rPr>
          <w:spacing w:val="-9"/>
        </w:rPr>
        <w:t> </w:t>
      </w:r>
      <w:r>
        <w:rPr/>
        <w:t>consolidada</w:t>
      </w:r>
      <w:r>
        <w:rPr>
          <w:spacing w:val="-9"/>
        </w:rPr>
        <w:t> </w:t>
      </w:r>
      <w:r>
        <w:rPr/>
        <w:t>como</w:t>
      </w:r>
      <w:r>
        <w:rPr>
          <w:spacing w:val="-9"/>
        </w:rPr>
        <w:t> </w:t>
      </w:r>
      <w:r>
        <w:rPr/>
        <w:t>uno</w:t>
      </w:r>
      <w:r>
        <w:rPr>
          <w:spacing w:val="-9"/>
        </w:rPr>
        <w:t> </w:t>
      </w:r>
      <w:r>
        <w:rPr/>
        <w:t>de los</w:t>
      </w:r>
      <w:r>
        <w:rPr>
          <w:spacing w:val="37"/>
        </w:rPr>
        <w:t> </w:t>
      </w:r>
      <w:r>
        <w:rPr/>
        <w:t>proyectos</w:t>
      </w:r>
      <w:r>
        <w:rPr>
          <w:spacing w:val="37"/>
        </w:rPr>
        <w:t> </w:t>
      </w:r>
      <w:r>
        <w:rPr/>
        <w:t>estratégicos</w:t>
      </w:r>
      <w:r>
        <w:rPr>
          <w:spacing w:val="37"/>
        </w:rPr>
        <w:t> </w:t>
      </w:r>
      <w:r>
        <w:rPr/>
        <w:t>del</w:t>
      </w:r>
      <w:r>
        <w:rPr>
          <w:spacing w:val="36"/>
        </w:rPr>
        <w:t> </w:t>
      </w:r>
      <w:r>
        <w:rPr/>
        <w:t>Colegio.</w:t>
      </w:r>
      <w:r>
        <w:rPr>
          <w:spacing w:val="36"/>
        </w:rPr>
        <w:t> </w:t>
      </w:r>
      <w:r>
        <w:rPr/>
        <w:t>La</w:t>
      </w:r>
      <w:r>
        <w:rPr>
          <w:spacing w:val="37"/>
        </w:rPr>
        <w:t> </w:t>
      </w:r>
      <w:r>
        <w:rPr/>
        <w:t>fase</w:t>
      </w:r>
      <w:r>
        <w:rPr>
          <w:spacing w:val="37"/>
        </w:rPr>
        <w:t> </w:t>
      </w:r>
      <w:r>
        <w:rPr/>
        <w:t>online</w:t>
      </w:r>
      <w:r>
        <w:rPr>
          <w:spacing w:val="37"/>
        </w:rPr>
        <w:t> </w:t>
      </w:r>
      <w:r>
        <w:rPr/>
        <w:t>inicial</w:t>
      </w:r>
      <w:r>
        <w:rPr>
          <w:spacing w:val="36"/>
        </w:rPr>
        <w:t> </w:t>
      </w:r>
      <w:r>
        <w:rPr/>
        <w:t>y</w:t>
      </w:r>
      <w:r>
        <w:rPr>
          <w:spacing w:val="37"/>
        </w:rPr>
        <w:t> </w:t>
      </w:r>
      <w:r>
        <w:rPr/>
        <w:t>la</w:t>
      </w:r>
      <w:r>
        <w:rPr>
          <w:spacing w:val="37"/>
        </w:rPr>
        <w:t> </w:t>
      </w:r>
      <w:r>
        <w:rPr/>
        <w:t>posterior</w:t>
      </w:r>
      <w:r>
        <w:rPr>
          <w:spacing w:val="37"/>
        </w:rPr>
        <w:t> </w:t>
      </w:r>
      <w:r>
        <w:rPr/>
        <w:t>celebración</w:t>
      </w:r>
    </w:p>
    <w:p>
      <w:pPr>
        <w:pStyle w:val="BodyText"/>
        <w:spacing w:after="0" w:line="362" w:lineRule="auto"/>
        <w:jc w:val="both"/>
        <w:sectPr>
          <w:pgSz w:w="11900" w:h="16840"/>
          <w:pgMar w:header="0" w:footer="468" w:top="1220" w:bottom="660" w:left="1275" w:right="283"/>
        </w:sectPr>
      </w:pPr>
    </w:p>
    <w:p>
      <w:pPr>
        <w:pStyle w:val="BodyText"/>
        <w:spacing w:line="362" w:lineRule="auto" w:before="82"/>
        <w:ind w:left="328" w:right="1279"/>
        <w:jc w:val="both"/>
      </w:pPr>
      <w:r>
        <w:rPr/>
        <w:t>presencial reunieron a jóvenes talentos de distintas islas, reforzando la colaboración con centros educativos, profesorado y universidades.</w:t>
      </w:r>
    </w:p>
    <w:p>
      <w:pPr>
        <w:pStyle w:val="BodyText"/>
        <w:spacing w:line="360" w:lineRule="auto"/>
        <w:ind w:left="328" w:right="1275"/>
        <w:jc w:val="both"/>
      </w:pPr>
      <w:r>
        <w:rPr/>
        <w:t>En esta línea, el Colegio continúa colaborando estrechamente con la Real Sociedad Española de Química, entidad que recibió en 2025 el Premio a la Empresa o Entidad Colaboradora,</w:t>
      </w:r>
      <w:r>
        <w:rPr>
          <w:spacing w:val="-7"/>
        </w:rPr>
        <w:t> </w:t>
      </w:r>
      <w:r>
        <w:rPr/>
        <w:t>en</w:t>
      </w:r>
      <w:r>
        <w:rPr>
          <w:spacing w:val="-7"/>
        </w:rPr>
        <w:t> </w:t>
      </w:r>
      <w:r>
        <w:rPr/>
        <w:t>reconocimiento</w:t>
      </w:r>
      <w:r>
        <w:rPr>
          <w:spacing w:val="-7"/>
        </w:rPr>
        <w:t> </w:t>
      </w:r>
      <w:r>
        <w:rPr/>
        <w:t>a</w:t>
      </w:r>
      <w:r>
        <w:rPr>
          <w:spacing w:val="-7"/>
        </w:rPr>
        <w:t> </w:t>
      </w:r>
      <w:r>
        <w:rPr/>
        <w:t>la</w:t>
      </w:r>
      <w:r>
        <w:rPr>
          <w:spacing w:val="-7"/>
        </w:rPr>
        <w:t> </w:t>
      </w:r>
      <w:r>
        <w:rPr/>
        <w:t>cooperación</w:t>
      </w:r>
      <w:r>
        <w:rPr>
          <w:spacing w:val="-7"/>
        </w:rPr>
        <w:t> </w:t>
      </w:r>
      <w:r>
        <w:rPr/>
        <w:t>en</w:t>
      </w:r>
      <w:r>
        <w:rPr>
          <w:spacing w:val="-7"/>
        </w:rPr>
        <w:t> </w:t>
      </w:r>
      <w:r>
        <w:rPr/>
        <w:t>la</w:t>
      </w:r>
      <w:r>
        <w:rPr>
          <w:spacing w:val="-7"/>
        </w:rPr>
        <w:t> </w:t>
      </w:r>
      <w:r>
        <w:rPr/>
        <w:t>organización</w:t>
      </w:r>
      <w:r>
        <w:rPr>
          <w:spacing w:val="-7"/>
        </w:rPr>
        <w:t> </w:t>
      </w:r>
      <w:r>
        <w:rPr/>
        <w:t>de</w:t>
      </w:r>
      <w:r>
        <w:rPr>
          <w:spacing w:val="-5"/>
        </w:rPr>
        <w:t> </w:t>
      </w:r>
      <w:r>
        <w:rPr/>
        <w:t>Miniolimpiadas</w:t>
      </w:r>
      <w:r>
        <w:rPr>
          <w:spacing w:val="-6"/>
        </w:rPr>
        <w:t> </w:t>
      </w:r>
      <w:r>
        <w:rPr/>
        <w:t>y Olimpiadas, fundamentales para el fomento de vocaciones.</w:t>
      </w:r>
    </w:p>
    <w:p>
      <w:pPr>
        <w:pStyle w:val="BodyText"/>
        <w:spacing w:line="360" w:lineRule="auto"/>
        <w:ind w:left="328" w:right="1275"/>
        <w:jc w:val="both"/>
      </w:pPr>
      <w:r>
        <w:rPr/>
        <w:t>Asimismo,</w:t>
      </w:r>
      <w:r>
        <w:rPr>
          <w:spacing w:val="-8"/>
        </w:rPr>
        <w:t> </w:t>
      </w:r>
      <w:r>
        <w:rPr/>
        <w:t>el</w:t>
      </w:r>
      <w:r>
        <w:rPr>
          <w:spacing w:val="-8"/>
        </w:rPr>
        <w:t> </w:t>
      </w:r>
      <w:r>
        <w:rPr/>
        <w:t>Colegio</w:t>
      </w:r>
      <w:r>
        <w:rPr>
          <w:spacing w:val="-8"/>
        </w:rPr>
        <w:t> </w:t>
      </w:r>
      <w:r>
        <w:rPr/>
        <w:t>respaldó</w:t>
      </w:r>
      <w:r>
        <w:rPr>
          <w:spacing w:val="-8"/>
        </w:rPr>
        <w:t> </w:t>
      </w:r>
      <w:r>
        <w:rPr/>
        <w:t>el</w:t>
      </w:r>
      <w:r>
        <w:rPr>
          <w:spacing w:val="-8"/>
        </w:rPr>
        <w:t> </w:t>
      </w:r>
      <w:r>
        <w:rPr/>
        <w:t>llamamiento</w:t>
      </w:r>
      <w:r>
        <w:rPr>
          <w:spacing w:val="-8"/>
        </w:rPr>
        <w:t> </w:t>
      </w:r>
      <w:r>
        <w:rPr/>
        <w:t>del</w:t>
      </w:r>
      <w:r>
        <w:rPr>
          <w:spacing w:val="-8"/>
        </w:rPr>
        <w:t> </w:t>
      </w:r>
      <w:r>
        <w:rPr/>
        <w:t>Consejo</w:t>
      </w:r>
      <w:r>
        <w:rPr>
          <w:spacing w:val="-8"/>
        </w:rPr>
        <w:t> </w:t>
      </w:r>
      <w:r>
        <w:rPr/>
        <w:t>General</w:t>
      </w:r>
      <w:r>
        <w:rPr>
          <w:spacing w:val="-8"/>
        </w:rPr>
        <w:t> </w:t>
      </w:r>
      <w:r>
        <w:rPr/>
        <w:t>de</w:t>
      </w:r>
      <w:r>
        <w:rPr>
          <w:spacing w:val="-8"/>
        </w:rPr>
        <w:t> </w:t>
      </w:r>
      <w:r>
        <w:rPr/>
        <w:t>Colegios</w:t>
      </w:r>
      <w:r>
        <w:rPr>
          <w:spacing w:val="-8"/>
        </w:rPr>
        <w:t> </w:t>
      </w:r>
      <w:r>
        <w:rPr/>
        <w:t>Oficiales</w:t>
      </w:r>
      <w:r>
        <w:rPr>
          <w:spacing w:val="-8"/>
        </w:rPr>
        <w:t> </w:t>
      </w:r>
      <w:r>
        <w:rPr/>
        <w:t>de Químicos para mejorar la educación científica en España, defendiendo la necesidad de reforzar la presencia de la Química en los planes de estudio y garantizar una formación sólida como base del progreso social y económico.</w:t>
      </w:r>
    </w:p>
    <w:p>
      <w:pPr>
        <w:pStyle w:val="BodyText"/>
        <w:spacing w:before="140"/>
      </w:pPr>
    </w:p>
    <w:p>
      <w:pPr>
        <w:pStyle w:val="Heading5"/>
      </w:pPr>
      <w:r>
        <w:rPr/>
        <w:t>Formación</w:t>
      </w:r>
      <w:r>
        <w:rPr>
          <w:spacing w:val="-2"/>
        </w:rPr>
        <w:t> </w:t>
      </w:r>
      <w:r>
        <w:rPr/>
        <w:t>y</w:t>
      </w:r>
      <w:r>
        <w:rPr>
          <w:spacing w:val="-1"/>
        </w:rPr>
        <w:t> </w:t>
      </w:r>
      <w:r>
        <w:rPr/>
        <w:t>conexión</w:t>
      </w:r>
      <w:r>
        <w:rPr>
          <w:spacing w:val="-1"/>
        </w:rPr>
        <w:t> </w:t>
      </w:r>
      <w:r>
        <w:rPr/>
        <w:t>universidad-</w:t>
      </w:r>
      <w:r>
        <w:rPr>
          <w:spacing w:val="-2"/>
        </w:rPr>
        <w:t>profesión</w:t>
      </w:r>
    </w:p>
    <w:p>
      <w:pPr>
        <w:pStyle w:val="BodyText"/>
        <w:spacing w:line="357" w:lineRule="auto" w:before="148"/>
        <w:ind w:left="328" w:right="1277"/>
        <w:jc w:val="both"/>
      </w:pPr>
      <w:r>
        <w:rPr/>
        <w:t>En el ámbito formativo, se ha impulsado la difusión de la Escuela Internacional de Formación del Consejo General, ampliando el acceso a programas especializados.</w:t>
      </w:r>
    </w:p>
    <w:p>
      <w:pPr>
        <w:pStyle w:val="BodyText"/>
        <w:spacing w:line="360" w:lineRule="auto" w:before="6"/>
        <w:ind w:left="328" w:right="1272"/>
        <w:jc w:val="both"/>
      </w:pPr>
      <w:r>
        <w:rPr/>
        <w:t>Cabe destacar especialmente la jornada celebrada en la sede colegial para presentar a otros colegios profesionales las Microcredenciales de la Universidad de La Laguna, fortaleciendo el papel del Colegio como puente entre universidad y ejercicio profesional, y favoreciendo la actualización de competencias en un entorno cada vez más exigente y </w:t>
      </w:r>
      <w:r>
        <w:rPr>
          <w:spacing w:val="-2"/>
        </w:rPr>
        <w:t>cambiante.</w:t>
      </w:r>
    </w:p>
    <w:p>
      <w:pPr>
        <w:pStyle w:val="BodyText"/>
        <w:spacing w:line="360" w:lineRule="auto" w:before="1"/>
        <w:ind w:left="328" w:right="1275"/>
        <w:jc w:val="both"/>
      </w:pPr>
      <w:r>
        <w:rPr/>
        <w:t>La colaboración con la ULL y la ULPGC se ha mantenido activa a lo largo del año, participando en actos institucionales, congresos de estudiantes y encuentros de egresados, reforzando el vínculo entre formación académica y realidad profesional.</w:t>
      </w:r>
    </w:p>
    <w:p>
      <w:pPr>
        <w:pStyle w:val="BodyText"/>
        <w:spacing w:before="145"/>
      </w:pPr>
    </w:p>
    <w:p>
      <w:pPr>
        <w:pStyle w:val="Heading5"/>
      </w:pPr>
      <w:r>
        <w:rPr/>
        <w:t>Compromiso</w:t>
      </w:r>
      <w:r>
        <w:rPr>
          <w:spacing w:val="-6"/>
        </w:rPr>
        <w:t> </w:t>
      </w:r>
      <w:r>
        <w:rPr/>
        <w:t>con</w:t>
      </w:r>
      <w:r>
        <w:rPr>
          <w:spacing w:val="-3"/>
        </w:rPr>
        <w:t> </w:t>
      </w:r>
      <w:r>
        <w:rPr/>
        <w:t>la</w:t>
      </w:r>
      <w:r>
        <w:rPr>
          <w:spacing w:val="-3"/>
        </w:rPr>
        <w:t> </w:t>
      </w:r>
      <w:r>
        <w:rPr/>
        <w:t>igualdad</w:t>
      </w:r>
      <w:r>
        <w:rPr>
          <w:spacing w:val="-4"/>
        </w:rPr>
        <w:t> </w:t>
      </w:r>
      <w:r>
        <w:rPr/>
        <w:t>y</w:t>
      </w:r>
      <w:r>
        <w:rPr>
          <w:spacing w:val="-3"/>
        </w:rPr>
        <w:t> </w:t>
      </w:r>
      <w:r>
        <w:rPr/>
        <w:t>el</w:t>
      </w:r>
      <w:r>
        <w:rPr>
          <w:spacing w:val="-3"/>
        </w:rPr>
        <w:t> </w:t>
      </w:r>
      <w:r>
        <w:rPr/>
        <w:t>debate</w:t>
      </w:r>
      <w:r>
        <w:rPr>
          <w:spacing w:val="-2"/>
        </w:rPr>
        <w:t> social</w:t>
      </w:r>
    </w:p>
    <w:p>
      <w:pPr>
        <w:pStyle w:val="BodyText"/>
        <w:spacing w:line="360" w:lineRule="auto" w:before="144"/>
        <w:ind w:left="328" w:right="1272"/>
        <w:jc w:val="both"/>
      </w:pPr>
      <w:r>
        <w:rPr/>
        <w:t>Con</w:t>
      </w:r>
      <w:r>
        <w:rPr>
          <w:spacing w:val="-8"/>
        </w:rPr>
        <w:t> </w:t>
      </w:r>
      <w:r>
        <w:rPr/>
        <w:t>motivo</w:t>
      </w:r>
      <w:r>
        <w:rPr>
          <w:spacing w:val="-8"/>
        </w:rPr>
        <w:t> </w:t>
      </w:r>
      <w:r>
        <w:rPr/>
        <w:t>del</w:t>
      </w:r>
      <w:r>
        <w:rPr>
          <w:spacing w:val="-8"/>
        </w:rPr>
        <w:t> </w:t>
      </w:r>
      <w:r>
        <w:rPr/>
        <w:t>Día</w:t>
      </w:r>
      <w:r>
        <w:rPr>
          <w:spacing w:val="-8"/>
        </w:rPr>
        <w:t> </w:t>
      </w:r>
      <w:r>
        <w:rPr/>
        <w:t>Internacional</w:t>
      </w:r>
      <w:r>
        <w:rPr>
          <w:spacing w:val="-8"/>
        </w:rPr>
        <w:t> </w:t>
      </w:r>
      <w:r>
        <w:rPr/>
        <w:t>de</w:t>
      </w:r>
      <w:r>
        <w:rPr>
          <w:spacing w:val="-8"/>
        </w:rPr>
        <w:t> </w:t>
      </w:r>
      <w:r>
        <w:rPr/>
        <w:t>la</w:t>
      </w:r>
      <w:r>
        <w:rPr>
          <w:spacing w:val="-8"/>
        </w:rPr>
        <w:t> </w:t>
      </w:r>
      <w:r>
        <w:rPr/>
        <w:t>Mujer,</w:t>
      </w:r>
      <w:r>
        <w:rPr>
          <w:spacing w:val="-8"/>
        </w:rPr>
        <w:t> </w:t>
      </w:r>
      <w:r>
        <w:rPr/>
        <w:t>el</w:t>
      </w:r>
      <w:r>
        <w:rPr>
          <w:spacing w:val="-8"/>
        </w:rPr>
        <w:t> </w:t>
      </w:r>
      <w:r>
        <w:rPr/>
        <w:t>Colegio</w:t>
      </w:r>
      <w:r>
        <w:rPr>
          <w:spacing w:val="-8"/>
        </w:rPr>
        <w:t> </w:t>
      </w:r>
      <w:r>
        <w:rPr/>
        <w:t>organizó</w:t>
      </w:r>
      <w:r>
        <w:rPr>
          <w:spacing w:val="-8"/>
        </w:rPr>
        <w:t> </w:t>
      </w:r>
      <w:r>
        <w:rPr/>
        <w:t>junto</w:t>
      </w:r>
      <w:r>
        <w:rPr>
          <w:spacing w:val="-8"/>
        </w:rPr>
        <w:t> </w:t>
      </w:r>
      <w:r>
        <w:rPr/>
        <w:t>a</w:t>
      </w:r>
      <w:r>
        <w:rPr>
          <w:spacing w:val="-8"/>
        </w:rPr>
        <w:t> </w:t>
      </w:r>
      <w:r>
        <w:rPr/>
        <w:t>la</w:t>
      </w:r>
      <w:r>
        <w:rPr>
          <w:spacing w:val="-8"/>
        </w:rPr>
        <w:t> </w:t>
      </w:r>
      <w:r>
        <w:rPr/>
        <w:t>Universidad</w:t>
      </w:r>
      <w:r>
        <w:rPr>
          <w:spacing w:val="-8"/>
        </w:rPr>
        <w:t> </w:t>
      </w:r>
      <w:r>
        <w:rPr/>
        <w:t>de La Laguna la mesa de debate “Mujer, trabajo y sociedad”, que tuve el honor de moderar. Este encuentro permitió reflexionar sobre los retos profesionales, la conciliación, la visibilidad del talento femenino y la necesidad de seguir avanzando hacia entornos laborales más equitativos.</w:t>
      </w:r>
    </w:p>
    <w:p>
      <w:pPr>
        <w:pStyle w:val="BodyText"/>
        <w:spacing w:line="362" w:lineRule="auto" w:before="1"/>
        <w:ind w:left="328" w:right="1277"/>
        <w:jc w:val="both"/>
      </w:pPr>
      <w:r>
        <w:rPr/>
        <w:t>Este tipo de iniciativas consolidan al Colegio como espacio de reflexión técnica y social, comprometido con los valores de igualdad y responsabilidad profesional.</w:t>
      </w:r>
    </w:p>
    <w:p>
      <w:pPr>
        <w:pStyle w:val="BodyText"/>
        <w:spacing w:after="0" w:line="362" w:lineRule="auto"/>
        <w:jc w:val="both"/>
        <w:sectPr>
          <w:pgSz w:w="11900" w:h="16840"/>
          <w:pgMar w:header="0" w:footer="468" w:top="1240" w:bottom="660" w:left="1275" w:right="283"/>
        </w:sectPr>
      </w:pPr>
    </w:p>
    <w:p>
      <w:pPr>
        <w:pStyle w:val="Heading5"/>
        <w:spacing w:before="82"/>
        <w:jc w:val="left"/>
      </w:pPr>
      <w:r>
        <w:rPr/>
        <w:t>Premios</w:t>
      </w:r>
      <w:r>
        <w:rPr>
          <w:spacing w:val="-3"/>
        </w:rPr>
        <w:t> </w:t>
      </w:r>
      <w:r>
        <w:rPr/>
        <w:t>y</w:t>
      </w:r>
      <w:r>
        <w:rPr>
          <w:spacing w:val="-3"/>
        </w:rPr>
        <w:t> </w:t>
      </w:r>
      <w:r>
        <w:rPr/>
        <w:t>reconocimiento</w:t>
      </w:r>
      <w:r>
        <w:rPr>
          <w:spacing w:val="-3"/>
        </w:rPr>
        <w:t> </w:t>
      </w:r>
      <w:r>
        <w:rPr/>
        <w:t>a</w:t>
      </w:r>
      <w:r>
        <w:rPr>
          <w:spacing w:val="-2"/>
        </w:rPr>
        <w:t> </w:t>
      </w:r>
      <w:r>
        <w:rPr/>
        <w:t>la</w:t>
      </w:r>
      <w:r>
        <w:rPr>
          <w:spacing w:val="-3"/>
        </w:rPr>
        <w:t> </w:t>
      </w:r>
      <w:r>
        <w:rPr>
          <w:spacing w:val="-2"/>
        </w:rPr>
        <w:t>excelencia</w:t>
      </w:r>
    </w:p>
    <w:p>
      <w:pPr>
        <w:pStyle w:val="BodyText"/>
        <w:spacing w:line="357" w:lineRule="auto" w:before="148"/>
        <w:ind w:left="328" w:right="1186"/>
      </w:pPr>
      <w:r>
        <w:rPr/>
        <w:t>La festividad de San Alberto Magno volvió a constituir el acto institucional más relevante del año, reconociendo la excelencia del sector químico en Canarias.</w:t>
      </w:r>
    </w:p>
    <w:p>
      <w:pPr>
        <w:pStyle w:val="BodyText"/>
        <w:spacing w:before="6"/>
        <w:ind w:left="328"/>
      </w:pPr>
      <w:r>
        <w:rPr/>
        <w:t>En</w:t>
      </w:r>
      <w:r>
        <w:rPr>
          <w:spacing w:val="-3"/>
        </w:rPr>
        <w:t> </w:t>
      </w:r>
      <w:r>
        <w:rPr/>
        <w:t>esta</w:t>
      </w:r>
      <w:r>
        <w:rPr>
          <w:spacing w:val="-3"/>
        </w:rPr>
        <w:t> </w:t>
      </w:r>
      <w:r>
        <w:rPr/>
        <w:t>edición</w:t>
      </w:r>
      <w:r>
        <w:rPr>
          <w:spacing w:val="-3"/>
        </w:rPr>
        <w:t> </w:t>
      </w:r>
      <w:r>
        <w:rPr/>
        <w:t>se</w:t>
      </w:r>
      <w:r>
        <w:rPr>
          <w:spacing w:val="-1"/>
        </w:rPr>
        <w:t> </w:t>
      </w:r>
      <w:r>
        <w:rPr>
          <w:spacing w:val="-2"/>
        </w:rPr>
        <w:t>otorgaron:</w:t>
      </w:r>
    </w:p>
    <w:p>
      <w:pPr>
        <w:pStyle w:val="ListParagraph"/>
        <w:numPr>
          <w:ilvl w:val="0"/>
          <w:numId w:val="1"/>
        </w:numPr>
        <w:tabs>
          <w:tab w:pos="947" w:val="left" w:leader="none"/>
        </w:tabs>
        <w:spacing w:line="362" w:lineRule="auto" w:before="143" w:after="0"/>
        <w:ind w:left="947" w:right="1275" w:hanging="360"/>
        <w:jc w:val="both"/>
        <w:rPr>
          <w:sz w:val="24"/>
        </w:rPr>
      </w:pPr>
      <w:r>
        <w:rPr>
          <w:sz w:val="24"/>
        </w:rPr>
        <w:t>El</w:t>
      </w:r>
      <w:r>
        <w:rPr>
          <w:spacing w:val="-10"/>
          <w:sz w:val="24"/>
        </w:rPr>
        <w:t> </w:t>
      </w:r>
      <w:r>
        <w:rPr>
          <w:sz w:val="24"/>
        </w:rPr>
        <w:t>Premio</w:t>
      </w:r>
      <w:r>
        <w:rPr>
          <w:spacing w:val="-10"/>
          <w:sz w:val="24"/>
        </w:rPr>
        <w:t> </w:t>
      </w:r>
      <w:r>
        <w:rPr>
          <w:sz w:val="24"/>
        </w:rPr>
        <w:t>de</w:t>
      </w:r>
      <w:r>
        <w:rPr>
          <w:spacing w:val="-10"/>
          <w:sz w:val="24"/>
        </w:rPr>
        <w:t> </w:t>
      </w:r>
      <w:r>
        <w:rPr>
          <w:sz w:val="24"/>
        </w:rPr>
        <w:t>Excelencia</w:t>
      </w:r>
      <w:r>
        <w:rPr>
          <w:spacing w:val="-10"/>
          <w:sz w:val="24"/>
        </w:rPr>
        <w:t> </w:t>
      </w:r>
      <w:r>
        <w:rPr>
          <w:sz w:val="24"/>
        </w:rPr>
        <w:t>Química</w:t>
      </w:r>
      <w:r>
        <w:rPr>
          <w:spacing w:val="-10"/>
          <w:sz w:val="24"/>
        </w:rPr>
        <w:t> </w:t>
      </w:r>
      <w:r>
        <w:rPr>
          <w:sz w:val="24"/>
        </w:rPr>
        <w:t>Empresarial</w:t>
      </w:r>
      <w:r>
        <w:rPr>
          <w:spacing w:val="-10"/>
          <w:sz w:val="24"/>
        </w:rPr>
        <w:t> </w:t>
      </w:r>
      <w:r>
        <w:rPr>
          <w:sz w:val="24"/>
        </w:rPr>
        <w:t>de</w:t>
      </w:r>
      <w:r>
        <w:rPr>
          <w:spacing w:val="-10"/>
          <w:sz w:val="24"/>
        </w:rPr>
        <w:t> </w:t>
      </w:r>
      <w:r>
        <w:rPr>
          <w:sz w:val="24"/>
        </w:rPr>
        <w:t>Canarias,</w:t>
      </w:r>
      <w:r>
        <w:rPr>
          <w:spacing w:val="-10"/>
          <w:sz w:val="24"/>
        </w:rPr>
        <w:t> </w:t>
      </w:r>
      <w:r>
        <w:rPr>
          <w:sz w:val="24"/>
        </w:rPr>
        <w:t>concedido</w:t>
      </w:r>
      <w:r>
        <w:rPr>
          <w:spacing w:val="-10"/>
          <w:sz w:val="24"/>
        </w:rPr>
        <w:t> </w:t>
      </w:r>
      <w:r>
        <w:rPr>
          <w:sz w:val="24"/>
        </w:rPr>
        <w:t>a</w:t>
      </w:r>
      <w:r>
        <w:rPr>
          <w:spacing w:val="-10"/>
          <w:sz w:val="24"/>
        </w:rPr>
        <w:t> </w:t>
      </w:r>
      <w:r>
        <w:rPr>
          <w:sz w:val="24"/>
        </w:rPr>
        <w:t>CIN</w:t>
      </w:r>
      <w:r>
        <w:rPr>
          <w:spacing w:val="-10"/>
          <w:sz w:val="24"/>
        </w:rPr>
        <w:t> </w:t>
      </w:r>
      <w:r>
        <w:rPr>
          <w:sz w:val="24"/>
        </w:rPr>
        <w:t>Canarias, en reconocimiento a su trayectoria e innovación en el ámbito industrial.</w:t>
      </w:r>
    </w:p>
    <w:p>
      <w:pPr>
        <w:pStyle w:val="ListParagraph"/>
        <w:numPr>
          <w:ilvl w:val="0"/>
          <w:numId w:val="1"/>
        </w:numPr>
        <w:tabs>
          <w:tab w:pos="947" w:val="left" w:leader="none"/>
        </w:tabs>
        <w:spacing w:line="360" w:lineRule="auto" w:before="0" w:after="0"/>
        <w:ind w:left="947" w:right="1275" w:hanging="360"/>
        <w:jc w:val="both"/>
        <w:rPr>
          <w:sz w:val="24"/>
        </w:rPr>
      </w:pPr>
      <w:r>
        <w:rPr>
          <w:sz w:val="24"/>
        </w:rPr>
        <w:t>La segunda edición del Premio de Divulgación, otorgado al programa </w:t>
      </w:r>
      <w:r>
        <w:rPr>
          <w:i/>
          <w:sz w:val="24"/>
        </w:rPr>
        <w:t>“Una hora</w:t>
      </w:r>
      <w:r>
        <w:rPr>
          <w:i/>
          <w:sz w:val="24"/>
        </w:rPr>
        <w:t> menos” </w:t>
      </w:r>
      <w:r>
        <w:rPr>
          <w:sz w:val="24"/>
        </w:rPr>
        <w:t>de Televisión Canaria, por su contribución a la difusión del conocimiento científico y técnico.</w:t>
      </w:r>
    </w:p>
    <w:p>
      <w:pPr>
        <w:pStyle w:val="ListParagraph"/>
        <w:numPr>
          <w:ilvl w:val="0"/>
          <w:numId w:val="1"/>
        </w:numPr>
        <w:tabs>
          <w:tab w:pos="947" w:val="left" w:leader="none"/>
        </w:tabs>
        <w:spacing w:line="362" w:lineRule="auto" w:before="0" w:after="0"/>
        <w:ind w:left="947" w:right="1277" w:hanging="360"/>
        <w:jc w:val="both"/>
        <w:rPr>
          <w:sz w:val="24"/>
        </w:rPr>
      </w:pPr>
      <w:r>
        <w:rPr>
          <w:sz w:val="24"/>
        </w:rPr>
        <w:t>El Premio a la Empresa o Entidad Colaboradora, concedido a la Real Sociedad Española de Química.</w:t>
      </w:r>
    </w:p>
    <w:p>
      <w:pPr>
        <w:pStyle w:val="BodyText"/>
        <w:spacing w:line="360" w:lineRule="auto"/>
        <w:ind w:left="328" w:right="1276"/>
        <w:jc w:val="both"/>
      </w:pPr>
      <w:r>
        <w:rPr/>
        <w:t>Asimismo, durante el año se dio difusión al Premio Nacional de Excelencia Química concedido por el Consejo General a la profesora Juana Bellanato, colegiada del Colegio Oficial de Químicos de Madrid, cuya trayectoria fue ejemplo de rigor y dedicación </w:t>
      </w:r>
      <w:r>
        <w:rPr>
          <w:spacing w:val="-2"/>
        </w:rPr>
        <w:t>científica.</w:t>
      </w:r>
    </w:p>
    <w:p>
      <w:pPr>
        <w:pStyle w:val="BodyText"/>
        <w:spacing w:before="137"/>
      </w:pPr>
    </w:p>
    <w:p>
      <w:pPr>
        <w:pStyle w:val="Heading5"/>
      </w:pPr>
      <w:r>
        <w:rPr/>
        <w:t>Empresas</w:t>
      </w:r>
      <w:r>
        <w:rPr>
          <w:spacing w:val="-6"/>
        </w:rPr>
        <w:t> </w:t>
      </w:r>
      <w:r>
        <w:rPr/>
        <w:t>colaboradoras</w:t>
      </w:r>
      <w:r>
        <w:rPr>
          <w:spacing w:val="-6"/>
        </w:rPr>
        <w:t> </w:t>
      </w:r>
      <w:r>
        <w:rPr/>
        <w:t>y</w:t>
      </w:r>
      <w:r>
        <w:rPr>
          <w:spacing w:val="-6"/>
        </w:rPr>
        <w:t> </w:t>
      </w:r>
      <w:r>
        <w:rPr/>
        <w:t>alianzas</w:t>
      </w:r>
      <w:r>
        <w:rPr>
          <w:spacing w:val="-5"/>
        </w:rPr>
        <w:t> </w:t>
      </w:r>
      <w:r>
        <w:rPr>
          <w:spacing w:val="-2"/>
        </w:rPr>
        <w:t>estratégicas</w:t>
      </w:r>
    </w:p>
    <w:p>
      <w:pPr>
        <w:pStyle w:val="BodyText"/>
        <w:spacing w:line="360" w:lineRule="auto" w:before="144"/>
        <w:ind w:left="328" w:right="1276"/>
        <w:jc w:val="both"/>
      </w:pPr>
      <w:r>
        <w:rPr/>
        <w:t>El Colegio ha seguido contando con el apoyo de empresas colaboradoras que respaldan nuestras actividades y contribuyen al fortalecimiento del tejido profesional. Entre ellas, cabe destacar la colaboración de Ascanio Química, así como el nuevo convenio con Cajasiete, reforzando las sinergias entre sector financiero y colectivo profesional.</w:t>
      </w:r>
    </w:p>
    <w:p>
      <w:pPr>
        <w:pStyle w:val="BodyText"/>
        <w:spacing w:line="357" w:lineRule="auto" w:before="4"/>
        <w:ind w:left="328" w:right="1276"/>
        <w:jc w:val="both"/>
      </w:pPr>
      <w:r>
        <w:rPr/>
        <w:t>Estas alianzas permiten sostener iniciativas de alto impacto formativo y divulgativo, generando valor compartido para la sociedad canaria.</w:t>
      </w:r>
    </w:p>
    <w:p>
      <w:pPr>
        <w:pStyle w:val="BodyText"/>
        <w:spacing w:before="149"/>
      </w:pPr>
    </w:p>
    <w:p>
      <w:pPr>
        <w:pStyle w:val="Heading5"/>
      </w:pPr>
      <w:r>
        <w:rPr/>
        <w:t>Proyección</w:t>
      </w:r>
      <w:r>
        <w:rPr>
          <w:spacing w:val="-4"/>
        </w:rPr>
        <w:t> </w:t>
      </w:r>
      <w:r>
        <w:rPr/>
        <w:t>pública</w:t>
      </w:r>
      <w:r>
        <w:rPr>
          <w:spacing w:val="-3"/>
        </w:rPr>
        <w:t> </w:t>
      </w:r>
      <w:r>
        <w:rPr/>
        <w:t>y</w:t>
      </w:r>
      <w:r>
        <w:rPr>
          <w:spacing w:val="-4"/>
        </w:rPr>
        <w:t> </w:t>
      </w:r>
      <w:r>
        <w:rPr/>
        <w:t>presencia</w:t>
      </w:r>
      <w:r>
        <w:rPr>
          <w:spacing w:val="-3"/>
        </w:rPr>
        <w:t> </w:t>
      </w:r>
      <w:r>
        <w:rPr/>
        <w:t>en</w:t>
      </w:r>
      <w:r>
        <w:rPr>
          <w:spacing w:val="-3"/>
        </w:rPr>
        <w:t> </w:t>
      </w:r>
      <w:r>
        <w:rPr>
          <w:spacing w:val="-2"/>
        </w:rPr>
        <w:t>medios</w:t>
      </w:r>
    </w:p>
    <w:p>
      <w:pPr>
        <w:pStyle w:val="BodyText"/>
        <w:spacing w:line="360" w:lineRule="auto" w:before="148"/>
        <w:ind w:left="328" w:right="1275"/>
        <w:jc w:val="both"/>
      </w:pPr>
      <w:r>
        <w:rPr/>
        <w:t>Durante 2025, los miembros de la Junta Directiva han mantenido una presencia activa en medios</w:t>
      </w:r>
      <w:r>
        <w:rPr>
          <w:spacing w:val="-4"/>
        </w:rPr>
        <w:t> </w:t>
      </w:r>
      <w:r>
        <w:rPr/>
        <w:t>de</w:t>
      </w:r>
      <w:r>
        <w:rPr>
          <w:spacing w:val="-4"/>
        </w:rPr>
        <w:t> </w:t>
      </w:r>
      <w:r>
        <w:rPr/>
        <w:t>comunicación</w:t>
      </w:r>
      <w:r>
        <w:rPr>
          <w:spacing w:val="-4"/>
        </w:rPr>
        <w:t> </w:t>
      </w:r>
      <w:r>
        <w:rPr/>
        <w:t>y</w:t>
      </w:r>
      <w:r>
        <w:rPr>
          <w:spacing w:val="-4"/>
        </w:rPr>
        <w:t> </w:t>
      </w:r>
      <w:r>
        <w:rPr/>
        <w:t>foros</w:t>
      </w:r>
      <w:r>
        <w:rPr>
          <w:spacing w:val="-4"/>
        </w:rPr>
        <w:t> </w:t>
      </w:r>
      <w:r>
        <w:rPr/>
        <w:t>sectoriales,</w:t>
      </w:r>
      <w:r>
        <w:rPr>
          <w:spacing w:val="-4"/>
        </w:rPr>
        <w:t> </w:t>
      </w:r>
      <w:r>
        <w:rPr/>
        <w:t>dando</w:t>
      </w:r>
      <w:r>
        <w:rPr>
          <w:spacing w:val="-4"/>
        </w:rPr>
        <w:t> </w:t>
      </w:r>
      <w:r>
        <w:rPr/>
        <w:t>voz</w:t>
      </w:r>
      <w:r>
        <w:rPr>
          <w:spacing w:val="-4"/>
        </w:rPr>
        <w:t> </w:t>
      </w:r>
      <w:r>
        <w:rPr/>
        <w:t>a</w:t>
      </w:r>
      <w:r>
        <w:rPr>
          <w:spacing w:val="-4"/>
        </w:rPr>
        <w:t> </w:t>
      </w:r>
      <w:r>
        <w:rPr/>
        <w:t>los</w:t>
      </w:r>
      <w:r>
        <w:rPr>
          <w:spacing w:val="-4"/>
        </w:rPr>
        <w:t> </w:t>
      </w:r>
      <w:r>
        <w:rPr/>
        <w:t>retos</w:t>
      </w:r>
      <w:r>
        <w:rPr>
          <w:spacing w:val="-4"/>
        </w:rPr>
        <w:t> </w:t>
      </w:r>
      <w:r>
        <w:rPr/>
        <w:t>de</w:t>
      </w:r>
      <w:r>
        <w:rPr>
          <w:spacing w:val="-4"/>
        </w:rPr>
        <w:t> </w:t>
      </w:r>
      <w:r>
        <w:rPr/>
        <w:t>la</w:t>
      </w:r>
      <w:r>
        <w:rPr>
          <w:spacing w:val="-4"/>
        </w:rPr>
        <w:t> </w:t>
      </w:r>
      <w:r>
        <w:rPr/>
        <w:t>profesión</w:t>
      </w:r>
      <w:r>
        <w:rPr>
          <w:spacing w:val="-4"/>
        </w:rPr>
        <w:t> </w:t>
      </w:r>
      <w:r>
        <w:rPr/>
        <w:t>química y abordando cuestiones de interés público como seguridad de productos, transición ecológica, innovación industrial o educación científica.</w:t>
      </w:r>
    </w:p>
    <w:p>
      <w:pPr>
        <w:pStyle w:val="BodyText"/>
        <w:spacing w:line="360" w:lineRule="auto"/>
        <w:ind w:left="328" w:right="1276"/>
        <w:jc w:val="both"/>
      </w:pPr>
      <w:r>
        <w:rPr/>
        <w:t>El Colegio ha revalidado la máxima nota en transparencia y ha sido distinguido con la Medalla de Bronce en los Premios de Transparencia 2025, consolidando su compromiso con el buen gobierno, la rendición de cuentas y la gestión responsable.</w:t>
      </w:r>
    </w:p>
    <w:p>
      <w:pPr>
        <w:pStyle w:val="BodyText"/>
        <w:spacing w:after="0" w:line="360" w:lineRule="auto"/>
        <w:jc w:val="both"/>
        <w:sectPr>
          <w:pgSz w:w="11900" w:h="16840"/>
          <w:pgMar w:header="0" w:footer="468" w:top="1240" w:bottom="660" w:left="1275" w:right="283"/>
        </w:sectPr>
      </w:pPr>
    </w:p>
    <w:p>
      <w:pPr>
        <w:pStyle w:val="Heading5"/>
        <w:spacing w:before="82"/>
      </w:pPr>
      <w:r>
        <w:rPr/>
        <w:t>Participación</w:t>
      </w:r>
      <w:r>
        <w:rPr>
          <w:spacing w:val="-7"/>
        </w:rPr>
        <w:t> </w:t>
      </w:r>
      <w:r>
        <w:rPr/>
        <w:t>institucional</w:t>
      </w:r>
      <w:r>
        <w:rPr>
          <w:spacing w:val="-6"/>
        </w:rPr>
        <w:t> </w:t>
      </w:r>
      <w:r>
        <w:rPr/>
        <w:t>y</w:t>
      </w:r>
      <w:r>
        <w:rPr>
          <w:spacing w:val="-7"/>
        </w:rPr>
        <w:t> </w:t>
      </w:r>
      <w:r>
        <w:rPr/>
        <w:t>liderazgo</w:t>
      </w:r>
      <w:r>
        <w:rPr>
          <w:spacing w:val="-6"/>
        </w:rPr>
        <w:t> </w:t>
      </w:r>
      <w:r>
        <w:rPr>
          <w:spacing w:val="-2"/>
        </w:rPr>
        <w:t>autonómico</w:t>
      </w:r>
    </w:p>
    <w:p>
      <w:pPr>
        <w:pStyle w:val="BodyText"/>
        <w:spacing w:line="360" w:lineRule="auto" w:before="148"/>
        <w:ind w:left="328" w:right="1276"/>
        <w:jc w:val="both"/>
      </w:pPr>
      <w:r>
        <w:rPr/>
        <w:t>El Colegio ha mantenido una intensa agenda institucional, participando en plenos del Consejo General, actos universitarios, encuentros interprofesionales y foros sectoriales vinculados a la transición ecológica, la innovación y el desarrollo industrial.</w:t>
      </w:r>
    </w:p>
    <w:p>
      <w:pPr>
        <w:pStyle w:val="BodyText"/>
        <w:spacing w:line="360" w:lineRule="auto"/>
        <w:ind w:left="328" w:right="1277"/>
        <w:jc w:val="both"/>
      </w:pPr>
      <w:r>
        <w:rPr/>
        <w:t>La</w:t>
      </w:r>
      <w:r>
        <w:rPr>
          <w:spacing w:val="-13"/>
        </w:rPr>
        <w:t> </w:t>
      </w:r>
      <w:r>
        <w:rPr/>
        <w:t>incorporación</w:t>
      </w:r>
      <w:r>
        <w:rPr>
          <w:spacing w:val="-13"/>
        </w:rPr>
        <w:t> </w:t>
      </w:r>
      <w:r>
        <w:rPr/>
        <w:t>a</w:t>
      </w:r>
      <w:r>
        <w:rPr>
          <w:spacing w:val="-13"/>
        </w:rPr>
        <w:t> </w:t>
      </w:r>
      <w:r>
        <w:rPr/>
        <w:t>la</w:t>
      </w:r>
      <w:r>
        <w:rPr>
          <w:spacing w:val="-13"/>
        </w:rPr>
        <w:t> </w:t>
      </w:r>
      <w:r>
        <w:rPr/>
        <w:t>Junta</w:t>
      </w:r>
      <w:r>
        <w:rPr>
          <w:spacing w:val="-13"/>
        </w:rPr>
        <w:t> </w:t>
      </w:r>
      <w:r>
        <w:rPr/>
        <w:t>Directiva</w:t>
      </w:r>
      <w:r>
        <w:rPr>
          <w:spacing w:val="-13"/>
        </w:rPr>
        <w:t> </w:t>
      </w:r>
      <w:r>
        <w:rPr/>
        <w:t>de</w:t>
      </w:r>
      <w:r>
        <w:rPr>
          <w:spacing w:val="-13"/>
        </w:rPr>
        <w:t> </w:t>
      </w:r>
      <w:r>
        <w:rPr/>
        <w:t>la</w:t>
      </w:r>
      <w:r>
        <w:rPr>
          <w:spacing w:val="-13"/>
        </w:rPr>
        <w:t> </w:t>
      </w:r>
      <w:r>
        <w:rPr/>
        <w:t>Asociación</w:t>
      </w:r>
      <w:r>
        <w:rPr>
          <w:spacing w:val="-13"/>
        </w:rPr>
        <w:t> </w:t>
      </w:r>
      <w:r>
        <w:rPr/>
        <w:t>de</w:t>
      </w:r>
      <w:r>
        <w:rPr>
          <w:spacing w:val="-13"/>
        </w:rPr>
        <w:t> </w:t>
      </w:r>
      <w:r>
        <w:rPr/>
        <w:t>Colegios</w:t>
      </w:r>
      <w:r>
        <w:rPr>
          <w:spacing w:val="-13"/>
        </w:rPr>
        <w:t> </w:t>
      </w:r>
      <w:r>
        <w:rPr/>
        <w:t>Profesionales</w:t>
      </w:r>
      <w:r>
        <w:rPr>
          <w:spacing w:val="-13"/>
        </w:rPr>
        <w:t> </w:t>
      </w:r>
      <w:r>
        <w:rPr/>
        <w:t>de</w:t>
      </w:r>
      <w:r>
        <w:rPr>
          <w:spacing w:val="-13"/>
        </w:rPr>
        <w:t> </w:t>
      </w:r>
      <w:r>
        <w:rPr/>
        <w:t>Canarias (ACP Canarias) refuerza la presencia del Colegio en el ámbito autonómico y consolida nuestra interlocución en defensa de la profesión.</w:t>
      </w:r>
    </w:p>
    <w:p>
      <w:pPr>
        <w:pStyle w:val="BodyText"/>
        <w:spacing w:before="142"/>
      </w:pPr>
    </w:p>
    <w:p>
      <w:pPr>
        <w:pStyle w:val="Heading5"/>
        <w:spacing w:before="1"/>
      </w:pPr>
      <w:r>
        <w:rPr/>
        <w:t>Mirando al </w:t>
      </w:r>
      <w:r>
        <w:rPr>
          <w:spacing w:val="-2"/>
        </w:rPr>
        <w:t>futuro</w:t>
      </w:r>
    </w:p>
    <w:p>
      <w:pPr>
        <w:pStyle w:val="BodyText"/>
        <w:spacing w:line="360" w:lineRule="auto" w:before="148"/>
        <w:ind w:left="328" w:right="1274"/>
        <w:jc w:val="both"/>
      </w:pPr>
      <w:r>
        <w:rPr/>
        <w:t>El ejercicio 2025 ha sido, en definitiva, un año de consolidación organizativa, fortalecimiento institucional y preparación estratégica para una fecha especialmente significativa: el 70 aniversario del Colegio Oficial de Químicos de Canarias.</w:t>
      </w:r>
    </w:p>
    <w:p>
      <w:pPr>
        <w:pStyle w:val="BodyText"/>
        <w:spacing w:line="360" w:lineRule="auto" w:before="2"/>
        <w:ind w:left="328" w:right="1275"/>
        <w:jc w:val="both"/>
      </w:pPr>
      <w:r>
        <w:rPr/>
        <w:t>A lo largo del año se han iniciado los trabajos preparatorios para la conmemoración de esta</w:t>
      </w:r>
      <w:r>
        <w:rPr>
          <w:spacing w:val="-7"/>
        </w:rPr>
        <w:t> </w:t>
      </w:r>
      <w:r>
        <w:rPr/>
        <w:t>efeméride,</w:t>
      </w:r>
      <w:r>
        <w:rPr>
          <w:spacing w:val="-7"/>
        </w:rPr>
        <w:t> </w:t>
      </w:r>
      <w:r>
        <w:rPr/>
        <w:t>que</w:t>
      </w:r>
      <w:r>
        <w:rPr>
          <w:spacing w:val="-7"/>
        </w:rPr>
        <w:t> </w:t>
      </w:r>
      <w:r>
        <w:rPr/>
        <w:t>no</w:t>
      </w:r>
      <w:r>
        <w:rPr>
          <w:spacing w:val="-7"/>
        </w:rPr>
        <w:t> </w:t>
      </w:r>
      <w:r>
        <w:rPr/>
        <w:t>solo</w:t>
      </w:r>
      <w:r>
        <w:rPr>
          <w:spacing w:val="-7"/>
        </w:rPr>
        <w:t> </w:t>
      </w:r>
      <w:r>
        <w:rPr/>
        <w:t>supone</w:t>
      </w:r>
      <w:r>
        <w:rPr>
          <w:spacing w:val="-7"/>
        </w:rPr>
        <w:t> </w:t>
      </w:r>
      <w:r>
        <w:rPr/>
        <w:t>una</w:t>
      </w:r>
      <w:r>
        <w:rPr>
          <w:spacing w:val="-7"/>
        </w:rPr>
        <w:t> </w:t>
      </w:r>
      <w:r>
        <w:rPr/>
        <w:t>celebración</w:t>
      </w:r>
      <w:r>
        <w:rPr>
          <w:spacing w:val="-7"/>
        </w:rPr>
        <w:t> </w:t>
      </w:r>
      <w:r>
        <w:rPr/>
        <w:t>simbólica,</w:t>
      </w:r>
      <w:r>
        <w:rPr>
          <w:spacing w:val="-7"/>
        </w:rPr>
        <w:t> </w:t>
      </w:r>
      <w:r>
        <w:rPr/>
        <w:t>sino</w:t>
      </w:r>
      <w:r>
        <w:rPr>
          <w:spacing w:val="-7"/>
        </w:rPr>
        <w:t> </w:t>
      </w:r>
      <w:r>
        <w:rPr/>
        <w:t>una</w:t>
      </w:r>
      <w:r>
        <w:rPr>
          <w:spacing w:val="-7"/>
        </w:rPr>
        <w:t> </w:t>
      </w:r>
      <w:r>
        <w:rPr/>
        <w:t>oportunidad</w:t>
      </w:r>
      <w:r>
        <w:rPr>
          <w:spacing w:val="-7"/>
        </w:rPr>
        <w:t> </w:t>
      </w:r>
      <w:r>
        <w:rPr/>
        <w:t>para poner en valor siete décadas de contribución de los profesionales de la Química al desarrollo científico, industrial, sanitario y medioambiental de Canarias.</w:t>
      </w:r>
    </w:p>
    <w:p>
      <w:pPr>
        <w:pStyle w:val="BodyText"/>
        <w:spacing w:line="360" w:lineRule="auto"/>
        <w:ind w:left="328" w:right="1275"/>
        <w:jc w:val="both"/>
      </w:pPr>
      <w:r>
        <w:rPr/>
        <w:t>El 70 aniversario será un momento para reconocer la trayectoria de quienes nos precedieron,</w:t>
      </w:r>
      <w:r>
        <w:rPr>
          <w:spacing w:val="-14"/>
        </w:rPr>
        <w:t> </w:t>
      </w:r>
      <w:r>
        <w:rPr/>
        <w:t>visibilizar</w:t>
      </w:r>
      <w:r>
        <w:rPr>
          <w:spacing w:val="-13"/>
        </w:rPr>
        <w:t> </w:t>
      </w:r>
      <w:r>
        <w:rPr/>
        <w:t>el</w:t>
      </w:r>
      <w:r>
        <w:rPr>
          <w:spacing w:val="-14"/>
        </w:rPr>
        <w:t> </w:t>
      </w:r>
      <w:r>
        <w:rPr/>
        <w:t>talento</w:t>
      </w:r>
      <w:r>
        <w:rPr>
          <w:spacing w:val="-13"/>
        </w:rPr>
        <w:t> </w:t>
      </w:r>
      <w:r>
        <w:rPr/>
        <w:t>actual</w:t>
      </w:r>
      <w:r>
        <w:rPr>
          <w:spacing w:val="-14"/>
        </w:rPr>
        <w:t> </w:t>
      </w:r>
      <w:r>
        <w:rPr/>
        <w:t>y</w:t>
      </w:r>
      <w:r>
        <w:rPr>
          <w:spacing w:val="-13"/>
        </w:rPr>
        <w:t> </w:t>
      </w:r>
      <w:r>
        <w:rPr/>
        <w:t>proyectar</w:t>
      </w:r>
      <w:r>
        <w:rPr>
          <w:spacing w:val="-14"/>
        </w:rPr>
        <w:t> </w:t>
      </w:r>
      <w:r>
        <w:rPr/>
        <w:t>la</w:t>
      </w:r>
      <w:r>
        <w:rPr>
          <w:spacing w:val="-13"/>
        </w:rPr>
        <w:t> </w:t>
      </w:r>
      <w:r>
        <w:rPr/>
        <w:t>profesión</w:t>
      </w:r>
      <w:r>
        <w:rPr>
          <w:spacing w:val="-14"/>
        </w:rPr>
        <w:t> </w:t>
      </w:r>
      <w:r>
        <w:rPr/>
        <w:t>hacia</w:t>
      </w:r>
      <w:r>
        <w:rPr>
          <w:spacing w:val="-13"/>
        </w:rPr>
        <w:t> </w:t>
      </w:r>
      <w:r>
        <w:rPr/>
        <w:t>el</w:t>
      </w:r>
      <w:r>
        <w:rPr>
          <w:spacing w:val="-14"/>
        </w:rPr>
        <w:t> </w:t>
      </w:r>
      <w:r>
        <w:rPr/>
        <w:t>futuro,</w:t>
      </w:r>
      <w:r>
        <w:rPr>
          <w:spacing w:val="-13"/>
        </w:rPr>
        <w:t> </w:t>
      </w:r>
      <w:r>
        <w:rPr/>
        <w:t>reforzando nuestro compromiso con la excelencia, la ética profesional y el servicio a la sociedad.</w:t>
      </w:r>
    </w:p>
    <w:p>
      <w:pPr>
        <w:pStyle w:val="BodyText"/>
        <w:ind w:left="328"/>
        <w:jc w:val="both"/>
      </w:pPr>
      <w:r>
        <w:rPr/>
        <w:t>Seguiremos</w:t>
      </w:r>
      <w:r>
        <w:rPr>
          <w:spacing w:val="-10"/>
        </w:rPr>
        <w:t> </w:t>
      </w:r>
      <w:r>
        <w:rPr/>
        <w:t>trabajando</w:t>
      </w:r>
      <w:r>
        <w:rPr>
          <w:spacing w:val="-10"/>
        </w:rPr>
        <w:t> </w:t>
      </w:r>
      <w:r>
        <w:rPr>
          <w:spacing w:val="-2"/>
        </w:rPr>
        <w:t>para:</w:t>
      </w:r>
    </w:p>
    <w:p>
      <w:pPr>
        <w:pStyle w:val="ListParagraph"/>
        <w:numPr>
          <w:ilvl w:val="0"/>
          <w:numId w:val="1"/>
        </w:numPr>
        <w:tabs>
          <w:tab w:pos="946" w:val="left" w:leader="none"/>
        </w:tabs>
        <w:spacing w:line="240" w:lineRule="auto" w:before="144" w:after="0"/>
        <w:ind w:left="946" w:right="0" w:hanging="359"/>
        <w:jc w:val="both"/>
        <w:rPr>
          <w:sz w:val="24"/>
        </w:rPr>
      </w:pPr>
      <w:r>
        <w:rPr>
          <w:sz w:val="24"/>
        </w:rPr>
        <w:t>Defender</w:t>
      </w:r>
      <w:r>
        <w:rPr>
          <w:spacing w:val="-5"/>
          <w:sz w:val="24"/>
        </w:rPr>
        <w:t> </w:t>
      </w:r>
      <w:r>
        <w:rPr>
          <w:sz w:val="24"/>
        </w:rPr>
        <w:t>la</w:t>
      </w:r>
      <w:r>
        <w:rPr>
          <w:spacing w:val="-3"/>
          <w:sz w:val="24"/>
        </w:rPr>
        <w:t> </w:t>
      </w:r>
      <w:r>
        <w:rPr>
          <w:sz w:val="24"/>
        </w:rPr>
        <w:t>colegiación</w:t>
      </w:r>
      <w:r>
        <w:rPr>
          <w:spacing w:val="-4"/>
          <w:sz w:val="24"/>
        </w:rPr>
        <w:t> </w:t>
      </w:r>
      <w:r>
        <w:rPr>
          <w:sz w:val="24"/>
        </w:rPr>
        <w:t>como</w:t>
      </w:r>
      <w:r>
        <w:rPr>
          <w:spacing w:val="-3"/>
          <w:sz w:val="24"/>
        </w:rPr>
        <w:t> </w:t>
      </w:r>
      <w:r>
        <w:rPr>
          <w:sz w:val="24"/>
        </w:rPr>
        <w:t>garantía</w:t>
      </w:r>
      <w:r>
        <w:rPr>
          <w:spacing w:val="-4"/>
          <w:sz w:val="24"/>
        </w:rPr>
        <w:t> </w:t>
      </w:r>
      <w:r>
        <w:rPr>
          <w:sz w:val="24"/>
        </w:rPr>
        <w:t>de</w:t>
      </w:r>
      <w:r>
        <w:rPr>
          <w:spacing w:val="-2"/>
          <w:sz w:val="24"/>
        </w:rPr>
        <w:t> </w:t>
      </w:r>
      <w:r>
        <w:rPr>
          <w:sz w:val="24"/>
        </w:rPr>
        <w:t>calidad</w:t>
      </w:r>
      <w:r>
        <w:rPr>
          <w:spacing w:val="-4"/>
          <w:sz w:val="24"/>
        </w:rPr>
        <w:t> </w:t>
      </w:r>
      <w:r>
        <w:rPr>
          <w:sz w:val="24"/>
        </w:rPr>
        <w:t>y</w:t>
      </w:r>
      <w:r>
        <w:rPr>
          <w:spacing w:val="-2"/>
          <w:sz w:val="24"/>
        </w:rPr>
        <w:t> </w:t>
      </w:r>
      <w:r>
        <w:rPr>
          <w:sz w:val="24"/>
        </w:rPr>
        <w:t>seguridad</w:t>
      </w:r>
      <w:r>
        <w:rPr>
          <w:spacing w:val="-4"/>
          <w:sz w:val="24"/>
        </w:rPr>
        <w:t> </w:t>
      </w:r>
      <w:r>
        <w:rPr>
          <w:sz w:val="24"/>
        </w:rPr>
        <w:t>para</w:t>
      </w:r>
      <w:r>
        <w:rPr>
          <w:spacing w:val="-3"/>
          <w:sz w:val="24"/>
        </w:rPr>
        <w:t> </w:t>
      </w:r>
      <w:r>
        <w:rPr>
          <w:sz w:val="24"/>
        </w:rPr>
        <w:t>la</w:t>
      </w:r>
      <w:r>
        <w:rPr>
          <w:spacing w:val="-3"/>
          <w:sz w:val="24"/>
        </w:rPr>
        <w:t> </w:t>
      </w:r>
      <w:r>
        <w:rPr>
          <w:spacing w:val="-2"/>
          <w:sz w:val="24"/>
        </w:rPr>
        <w:t>ciudadanía.</w:t>
      </w:r>
    </w:p>
    <w:p>
      <w:pPr>
        <w:pStyle w:val="ListParagraph"/>
        <w:numPr>
          <w:ilvl w:val="0"/>
          <w:numId w:val="1"/>
        </w:numPr>
        <w:tabs>
          <w:tab w:pos="946" w:val="left" w:leader="none"/>
        </w:tabs>
        <w:spacing w:line="240" w:lineRule="auto" w:before="149" w:after="0"/>
        <w:ind w:left="946" w:right="0" w:hanging="359"/>
        <w:jc w:val="both"/>
        <w:rPr>
          <w:sz w:val="24"/>
        </w:rPr>
      </w:pPr>
      <w:r>
        <w:rPr>
          <w:sz w:val="24"/>
        </w:rPr>
        <w:t>Impulsar</w:t>
      </w:r>
      <w:r>
        <w:rPr>
          <w:spacing w:val="-2"/>
          <w:sz w:val="24"/>
        </w:rPr>
        <w:t> </w:t>
      </w:r>
      <w:r>
        <w:rPr>
          <w:sz w:val="24"/>
        </w:rPr>
        <w:t>la</w:t>
      </w:r>
      <w:r>
        <w:rPr>
          <w:spacing w:val="-2"/>
          <w:sz w:val="24"/>
        </w:rPr>
        <w:t> </w:t>
      </w:r>
      <w:r>
        <w:rPr>
          <w:sz w:val="24"/>
        </w:rPr>
        <w:t>formación</w:t>
      </w:r>
      <w:r>
        <w:rPr>
          <w:spacing w:val="-2"/>
          <w:sz w:val="24"/>
        </w:rPr>
        <w:t> </w:t>
      </w:r>
      <w:r>
        <w:rPr>
          <w:sz w:val="24"/>
        </w:rPr>
        <w:t>continua</w:t>
      </w:r>
      <w:r>
        <w:rPr>
          <w:spacing w:val="-3"/>
          <w:sz w:val="24"/>
        </w:rPr>
        <w:t> </w:t>
      </w:r>
      <w:r>
        <w:rPr>
          <w:sz w:val="24"/>
        </w:rPr>
        <w:t>y</w:t>
      </w:r>
      <w:r>
        <w:rPr>
          <w:spacing w:val="-1"/>
          <w:sz w:val="24"/>
        </w:rPr>
        <w:t> </w:t>
      </w:r>
      <w:r>
        <w:rPr>
          <w:sz w:val="24"/>
        </w:rPr>
        <w:t>la</w:t>
      </w:r>
      <w:r>
        <w:rPr>
          <w:spacing w:val="-2"/>
          <w:sz w:val="24"/>
        </w:rPr>
        <w:t> especialización.</w:t>
      </w:r>
    </w:p>
    <w:p>
      <w:pPr>
        <w:pStyle w:val="ListParagraph"/>
        <w:numPr>
          <w:ilvl w:val="0"/>
          <w:numId w:val="1"/>
        </w:numPr>
        <w:tabs>
          <w:tab w:pos="946" w:val="left" w:leader="none"/>
        </w:tabs>
        <w:spacing w:line="240" w:lineRule="auto" w:before="144" w:after="0"/>
        <w:ind w:left="946" w:right="0" w:hanging="359"/>
        <w:jc w:val="both"/>
        <w:rPr>
          <w:sz w:val="24"/>
        </w:rPr>
      </w:pPr>
      <w:r>
        <w:rPr>
          <w:sz w:val="24"/>
        </w:rPr>
        <w:t>Fortalecer</w:t>
      </w:r>
      <w:r>
        <w:rPr>
          <w:spacing w:val="-6"/>
          <w:sz w:val="24"/>
        </w:rPr>
        <w:t> </w:t>
      </w:r>
      <w:r>
        <w:rPr>
          <w:sz w:val="24"/>
        </w:rPr>
        <w:t>la</w:t>
      </w:r>
      <w:r>
        <w:rPr>
          <w:spacing w:val="-6"/>
          <w:sz w:val="24"/>
        </w:rPr>
        <w:t> </w:t>
      </w:r>
      <w:r>
        <w:rPr>
          <w:sz w:val="24"/>
        </w:rPr>
        <w:t>interlocución</w:t>
      </w:r>
      <w:r>
        <w:rPr>
          <w:spacing w:val="-6"/>
          <w:sz w:val="24"/>
        </w:rPr>
        <w:t> </w:t>
      </w:r>
      <w:r>
        <w:rPr>
          <w:sz w:val="24"/>
        </w:rPr>
        <w:t>con</w:t>
      </w:r>
      <w:r>
        <w:rPr>
          <w:spacing w:val="-6"/>
          <w:sz w:val="24"/>
        </w:rPr>
        <w:t> </w:t>
      </w:r>
      <w:r>
        <w:rPr>
          <w:sz w:val="24"/>
        </w:rPr>
        <w:t>las</w:t>
      </w:r>
      <w:r>
        <w:rPr>
          <w:spacing w:val="-6"/>
          <w:sz w:val="24"/>
        </w:rPr>
        <w:t> </w:t>
      </w:r>
      <w:r>
        <w:rPr>
          <w:sz w:val="24"/>
        </w:rPr>
        <w:t>administraciones</w:t>
      </w:r>
      <w:r>
        <w:rPr>
          <w:spacing w:val="-6"/>
          <w:sz w:val="24"/>
        </w:rPr>
        <w:t> </w:t>
      </w:r>
      <w:r>
        <w:rPr>
          <w:spacing w:val="-2"/>
          <w:sz w:val="24"/>
        </w:rPr>
        <w:t>públicas.</w:t>
      </w:r>
    </w:p>
    <w:p>
      <w:pPr>
        <w:pStyle w:val="ListParagraph"/>
        <w:numPr>
          <w:ilvl w:val="0"/>
          <w:numId w:val="1"/>
        </w:numPr>
        <w:tabs>
          <w:tab w:pos="945" w:val="left" w:leader="none"/>
        </w:tabs>
        <w:spacing w:line="357" w:lineRule="auto" w:before="148" w:after="0"/>
        <w:ind w:left="328" w:right="1409" w:firstLine="258"/>
        <w:jc w:val="both"/>
        <w:rPr>
          <w:sz w:val="24"/>
        </w:rPr>
      </w:pPr>
      <w:r>
        <w:rPr>
          <w:sz w:val="24"/>
        </w:rPr>
        <w:t>Promover</w:t>
      </w:r>
      <w:r>
        <w:rPr>
          <w:spacing w:val="-3"/>
          <w:sz w:val="24"/>
        </w:rPr>
        <w:t> </w:t>
      </w:r>
      <w:r>
        <w:rPr>
          <w:sz w:val="24"/>
        </w:rPr>
        <w:t>la</w:t>
      </w:r>
      <w:r>
        <w:rPr>
          <w:spacing w:val="-4"/>
          <w:sz w:val="24"/>
        </w:rPr>
        <w:t> </w:t>
      </w:r>
      <w:r>
        <w:rPr>
          <w:sz w:val="24"/>
        </w:rPr>
        <w:t>excelencia</w:t>
      </w:r>
      <w:r>
        <w:rPr>
          <w:spacing w:val="-4"/>
          <w:sz w:val="24"/>
        </w:rPr>
        <w:t> </w:t>
      </w:r>
      <w:r>
        <w:rPr>
          <w:sz w:val="24"/>
        </w:rPr>
        <w:t>química</w:t>
      </w:r>
      <w:r>
        <w:rPr>
          <w:spacing w:val="-4"/>
          <w:sz w:val="24"/>
        </w:rPr>
        <w:t> </w:t>
      </w:r>
      <w:r>
        <w:rPr>
          <w:sz w:val="24"/>
        </w:rPr>
        <w:t>como</w:t>
      </w:r>
      <w:r>
        <w:rPr>
          <w:spacing w:val="-4"/>
          <w:sz w:val="24"/>
        </w:rPr>
        <w:t> </w:t>
      </w:r>
      <w:r>
        <w:rPr>
          <w:sz w:val="24"/>
        </w:rPr>
        <w:t>motor</w:t>
      </w:r>
      <w:r>
        <w:rPr>
          <w:spacing w:val="-3"/>
          <w:sz w:val="24"/>
        </w:rPr>
        <w:t> </w:t>
      </w:r>
      <w:r>
        <w:rPr>
          <w:sz w:val="24"/>
        </w:rPr>
        <w:t>de</w:t>
      </w:r>
      <w:r>
        <w:rPr>
          <w:spacing w:val="-3"/>
          <w:sz w:val="24"/>
        </w:rPr>
        <w:t> </w:t>
      </w:r>
      <w:r>
        <w:rPr>
          <w:sz w:val="24"/>
        </w:rPr>
        <w:t>desarrollo</w:t>
      </w:r>
      <w:r>
        <w:rPr>
          <w:spacing w:val="-4"/>
          <w:sz w:val="24"/>
        </w:rPr>
        <w:t> </w:t>
      </w:r>
      <w:r>
        <w:rPr>
          <w:sz w:val="24"/>
        </w:rPr>
        <w:t>sostenible</w:t>
      </w:r>
      <w:r>
        <w:rPr>
          <w:spacing w:val="-3"/>
          <w:sz w:val="24"/>
        </w:rPr>
        <w:t> </w:t>
      </w:r>
      <w:r>
        <w:rPr>
          <w:sz w:val="24"/>
        </w:rPr>
        <w:t>en</w:t>
      </w:r>
      <w:r>
        <w:rPr>
          <w:spacing w:val="-4"/>
          <w:sz w:val="24"/>
        </w:rPr>
        <w:t> </w:t>
      </w:r>
      <w:r>
        <w:rPr>
          <w:sz w:val="24"/>
        </w:rPr>
        <w:t>Canarias. Quiero expresar mi agradecimiento:</w:t>
      </w:r>
    </w:p>
    <w:p>
      <w:pPr>
        <w:pStyle w:val="ListParagraph"/>
        <w:numPr>
          <w:ilvl w:val="0"/>
          <w:numId w:val="1"/>
        </w:numPr>
        <w:tabs>
          <w:tab w:pos="947" w:val="left" w:leader="none"/>
        </w:tabs>
        <w:spacing w:line="360" w:lineRule="auto" w:before="6" w:after="0"/>
        <w:ind w:left="947" w:right="1273" w:hanging="360"/>
        <w:jc w:val="both"/>
        <w:rPr>
          <w:sz w:val="24"/>
        </w:rPr>
      </w:pPr>
      <w:r>
        <w:rPr>
          <w:sz w:val="24"/>
        </w:rPr>
        <w:t>A</w:t>
      </w:r>
      <w:r>
        <w:rPr>
          <w:spacing w:val="-3"/>
          <w:sz w:val="24"/>
        </w:rPr>
        <w:t> </w:t>
      </w:r>
      <w:r>
        <w:rPr>
          <w:sz w:val="24"/>
        </w:rPr>
        <w:t>la</w:t>
      </w:r>
      <w:r>
        <w:rPr>
          <w:spacing w:val="-4"/>
          <w:sz w:val="24"/>
        </w:rPr>
        <w:t> </w:t>
      </w:r>
      <w:r>
        <w:rPr>
          <w:sz w:val="24"/>
        </w:rPr>
        <w:t>Junta</w:t>
      </w:r>
      <w:r>
        <w:rPr>
          <w:spacing w:val="-4"/>
          <w:sz w:val="24"/>
        </w:rPr>
        <w:t> </w:t>
      </w:r>
      <w:r>
        <w:rPr>
          <w:sz w:val="24"/>
        </w:rPr>
        <w:t>Directiva,</w:t>
      </w:r>
      <w:r>
        <w:rPr>
          <w:spacing w:val="-4"/>
          <w:sz w:val="24"/>
        </w:rPr>
        <w:t> </w:t>
      </w:r>
      <w:r>
        <w:rPr>
          <w:sz w:val="24"/>
        </w:rPr>
        <w:t>por</w:t>
      </w:r>
      <w:r>
        <w:rPr>
          <w:spacing w:val="-3"/>
          <w:sz w:val="24"/>
        </w:rPr>
        <w:t> </w:t>
      </w:r>
      <w:r>
        <w:rPr>
          <w:sz w:val="24"/>
        </w:rPr>
        <w:t>su</w:t>
      </w:r>
      <w:r>
        <w:rPr>
          <w:spacing w:val="-4"/>
          <w:sz w:val="24"/>
        </w:rPr>
        <w:t> </w:t>
      </w:r>
      <w:r>
        <w:rPr>
          <w:sz w:val="24"/>
        </w:rPr>
        <w:t>compromiso</w:t>
      </w:r>
      <w:r>
        <w:rPr>
          <w:spacing w:val="-4"/>
          <w:sz w:val="24"/>
        </w:rPr>
        <w:t> </w:t>
      </w:r>
      <w:r>
        <w:rPr>
          <w:sz w:val="24"/>
        </w:rPr>
        <w:t>constante.</w:t>
      </w:r>
      <w:r>
        <w:rPr>
          <w:spacing w:val="-4"/>
          <w:sz w:val="24"/>
        </w:rPr>
        <w:t> </w:t>
      </w:r>
      <w:r>
        <w:rPr>
          <w:sz w:val="24"/>
        </w:rPr>
        <w:t>Una</w:t>
      </w:r>
      <w:r>
        <w:rPr>
          <w:spacing w:val="-4"/>
          <w:sz w:val="24"/>
        </w:rPr>
        <w:t> </w:t>
      </w:r>
      <w:r>
        <w:rPr>
          <w:sz w:val="24"/>
        </w:rPr>
        <w:t>mención</w:t>
      </w:r>
      <w:r>
        <w:rPr>
          <w:spacing w:val="-4"/>
          <w:sz w:val="24"/>
        </w:rPr>
        <w:t> </w:t>
      </w:r>
      <w:r>
        <w:rPr>
          <w:sz w:val="24"/>
        </w:rPr>
        <w:t>especial</w:t>
      </w:r>
      <w:r>
        <w:rPr>
          <w:spacing w:val="-4"/>
          <w:sz w:val="24"/>
        </w:rPr>
        <w:t> </w:t>
      </w:r>
      <w:r>
        <w:rPr>
          <w:sz w:val="24"/>
        </w:rPr>
        <w:t>a</w:t>
      </w:r>
      <w:r>
        <w:rPr>
          <w:spacing w:val="-4"/>
          <w:sz w:val="24"/>
        </w:rPr>
        <w:t> </w:t>
      </w:r>
      <w:r>
        <w:rPr>
          <w:sz w:val="24"/>
        </w:rPr>
        <w:t>nuestro </w:t>
      </w:r>
      <w:r>
        <w:rPr>
          <w:spacing w:val="-2"/>
          <w:sz w:val="24"/>
        </w:rPr>
        <w:t>compañero</w:t>
      </w:r>
      <w:r>
        <w:rPr>
          <w:spacing w:val="-4"/>
          <w:sz w:val="24"/>
        </w:rPr>
        <w:t> </w:t>
      </w:r>
      <w:r>
        <w:rPr>
          <w:spacing w:val="-2"/>
          <w:sz w:val="24"/>
        </w:rPr>
        <w:t>“Meño”</w:t>
      </w:r>
      <w:r>
        <w:rPr>
          <w:spacing w:val="-5"/>
          <w:sz w:val="24"/>
        </w:rPr>
        <w:t> </w:t>
      </w:r>
      <w:r>
        <w:rPr>
          <w:spacing w:val="-2"/>
          <w:sz w:val="24"/>
        </w:rPr>
        <w:t>que</w:t>
      </w:r>
      <w:r>
        <w:rPr>
          <w:spacing w:val="-5"/>
          <w:sz w:val="24"/>
        </w:rPr>
        <w:t> </w:t>
      </w:r>
      <w:r>
        <w:rPr>
          <w:spacing w:val="-2"/>
          <w:sz w:val="24"/>
        </w:rPr>
        <w:t>por</w:t>
      </w:r>
      <w:r>
        <w:rPr>
          <w:spacing w:val="-6"/>
          <w:sz w:val="24"/>
        </w:rPr>
        <w:t> </w:t>
      </w:r>
      <w:r>
        <w:rPr>
          <w:spacing w:val="-2"/>
          <w:sz w:val="24"/>
        </w:rPr>
        <w:t>motivos</w:t>
      </w:r>
      <w:r>
        <w:rPr>
          <w:spacing w:val="-5"/>
          <w:sz w:val="24"/>
        </w:rPr>
        <w:t> </w:t>
      </w:r>
      <w:r>
        <w:rPr>
          <w:spacing w:val="-2"/>
          <w:sz w:val="24"/>
        </w:rPr>
        <w:t>de</w:t>
      </w:r>
      <w:r>
        <w:rPr>
          <w:spacing w:val="-5"/>
          <w:sz w:val="24"/>
        </w:rPr>
        <w:t> </w:t>
      </w:r>
      <w:r>
        <w:rPr>
          <w:spacing w:val="-2"/>
          <w:sz w:val="24"/>
        </w:rPr>
        <w:t>salud</w:t>
      </w:r>
      <w:r>
        <w:rPr>
          <w:spacing w:val="-5"/>
          <w:sz w:val="24"/>
        </w:rPr>
        <w:t> </w:t>
      </w:r>
      <w:r>
        <w:rPr>
          <w:spacing w:val="-2"/>
          <w:sz w:val="24"/>
        </w:rPr>
        <w:t>ha</w:t>
      </w:r>
      <w:r>
        <w:rPr>
          <w:spacing w:val="-5"/>
          <w:sz w:val="24"/>
        </w:rPr>
        <w:t> </w:t>
      </w:r>
      <w:r>
        <w:rPr>
          <w:spacing w:val="-2"/>
          <w:sz w:val="24"/>
        </w:rPr>
        <w:t>tenido</w:t>
      </w:r>
      <w:r>
        <w:rPr>
          <w:spacing w:val="-5"/>
          <w:sz w:val="24"/>
        </w:rPr>
        <w:t> </w:t>
      </w:r>
      <w:r>
        <w:rPr>
          <w:spacing w:val="-2"/>
          <w:sz w:val="24"/>
        </w:rPr>
        <w:t>que</w:t>
      </w:r>
      <w:r>
        <w:rPr>
          <w:spacing w:val="-4"/>
          <w:sz w:val="24"/>
        </w:rPr>
        <w:t> </w:t>
      </w:r>
      <w:r>
        <w:rPr>
          <w:spacing w:val="-2"/>
          <w:sz w:val="24"/>
        </w:rPr>
        <w:t>aparcar</w:t>
      </w:r>
      <w:r>
        <w:rPr>
          <w:spacing w:val="-5"/>
          <w:sz w:val="24"/>
        </w:rPr>
        <w:t> </w:t>
      </w:r>
      <w:r>
        <w:rPr>
          <w:spacing w:val="-2"/>
          <w:sz w:val="24"/>
        </w:rPr>
        <w:t>temporalmente </w:t>
      </w:r>
      <w:r>
        <w:rPr>
          <w:sz w:val="24"/>
        </w:rPr>
        <w:t>sus funciones como vocal, pero con el que esperamos compartir las actividades de este año tan significativo</w:t>
      </w:r>
    </w:p>
    <w:p>
      <w:pPr>
        <w:pStyle w:val="ListParagraph"/>
        <w:numPr>
          <w:ilvl w:val="0"/>
          <w:numId w:val="1"/>
        </w:numPr>
        <w:tabs>
          <w:tab w:pos="946" w:val="left" w:leader="none"/>
        </w:tabs>
        <w:spacing w:line="292" w:lineRule="exact" w:before="0" w:after="0"/>
        <w:ind w:left="946" w:right="0" w:hanging="359"/>
        <w:jc w:val="both"/>
        <w:rPr>
          <w:sz w:val="24"/>
        </w:rPr>
      </w:pPr>
      <w:r>
        <w:rPr>
          <w:sz w:val="24"/>
        </w:rPr>
        <w:t>A</w:t>
      </w:r>
      <w:r>
        <w:rPr>
          <w:spacing w:val="-6"/>
          <w:sz w:val="24"/>
        </w:rPr>
        <w:t> </w:t>
      </w:r>
      <w:r>
        <w:rPr>
          <w:sz w:val="24"/>
        </w:rPr>
        <w:t>los</w:t>
      </w:r>
      <w:r>
        <w:rPr>
          <w:spacing w:val="-4"/>
          <w:sz w:val="24"/>
        </w:rPr>
        <w:t> </w:t>
      </w:r>
      <w:r>
        <w:rPr>
          <w:sz w:val="24"/>
        </w:rPr>
        <w:t>colegiados</w:t>
      </w:r>
      <w:r>
        <w:rPr>
          <w:spacing w:val="-4"/>
          <w:sz w:val="24"/>
        </w:rPr>
        <w:t> </w:t>
      </w:r>
      <w:r>
        <w:rPr>
          <w:sz w:val="24"/>
        </w:rPr>
        <w:t>que</w:t>
      </w:r>
      <w:r>
        <w:rPr>
          <w:spacing w:val="-4"/>
          <w:sz w:val="24"/>
        </w:rPr>
        <w:t> </w:t>
      </w:r>
      <w:r>
        <w:rPr>
          <w:sz w:val="24"/>
        </w:rPr>
        <w:t>participan</w:t>
      </w:r>
      <w:r>
        <w:rPr>
          <w:spacing w:val="-4"/>
          <w:sz w:val="24"/>
        </w:rPr>
        <w:t> </w:t>
      </w:r>
      <w:r>
        <w:rPr>
          <w:sz w:val="24"/>
        </w:rPr>
        <w:t>activamente</w:t>
      </w:r>
      <w:r>
        <w:rPr>
          <w:spacing w:val="-4"/>
          <w:sz w:val="24"/>
        </w:rPr>
        <w:t> </w:t>
      </w:r>
      <w:r>
        <w:rPr>
          <w:sz w:val="24"/>
        </w:rPr>
        <w:t>en</w:t>
      </w:r>
      <w:r>
        <w:rPr>
          <w:spacing w:val="-4"/>
          <w:sz w:val="24"/>
        </w:rPr>
        <w:t> </w:t>
      </w:r>
      <w:r>
        <w:rPr>
          <w:sz w:val="24"/>
        </w:rPr>
        <w:t>comisiones</w:t>
      </w:r>
      <w:r>
        <w:rPr>
          <w:spacing w:val="-4"/>
          <w:sz w:val="24"/>
        </w:rPr>
        <w:t> </w:t>
      </w:r>
      <w:r>
        <w:rPr>
          <w:sz w:val="24"/>
        </w:rPr>
        <w:t>y</w:t>
      </w:r>
      <w:r>
        <w:rPr>
          <w:spacing w:val="-3"/>
          <w:sz w:val="24"/>
        </w:rPr>
        <w:t> </w:t>
      </w:r>
      <w:r>
        <w:rPr>
          <w:spacing w:val="-2"/>
          <w:sz w:val="24"/>
        </w:rPr>
        <w:t>actividades.</w:t>
      </w:r>
    </w:p>
    <w:p>
      <w:pPr>
        <w:pStyle w:val="ListParagraph"/>
        <w:numPr>
          <w:ilvl w:val="0"/>
          <w:numId w:val="1"/>
        </w:numPr>
        <w:tabs>
          <w:tab w:pos="946" w:val="left" w:leader="none"/>
        </w:tabs>
        <w:spacing w:line="240" w:lineRule="auto" w:before="148" w:after="0"/>
        <w:ind w:left="946" w:right="0" w:hanging="359"/>
        <w:jc w:val="both"/>
        <w:rPr>
          <w:sz w:val="24"/>
        </w:rPr>
      </w:pPr>
      <w:r>
        <w:rPr>
          <w:sz w:val="24"/>
        </w:rPr>
        <w:t>A</w:t>
      </w:r>
      <w:r>
        <w:rPr>
          <w:spacing w:val="-5"/>
          <w:sz w:val="24"/>
        </w:rPr>
        <w:t> </w:t>
      </w:r>
      <w:r>
        <w:rPr>
          <w:sz w:val="24"/>
        </w:rPr>
        <w:t>las</w:t>
      </w:r>
      <w:r>
        <w:rPr>
          <w:spacing w:val="-6"/>
          <w:sz w:val="24"/>
        </w:rPr>
        <w:t> </w:t>
      </w:r>
      <w:r>
        <w:rPr>
          <w:sz w:val="24"/>
        </w:rPr>
        <w:t>empresas</w:t>
      </w:r>
      <w:r>
        <w:rPr>
          <w:spacing w:val="-6"/>
          <w:sz w:val="24"/>
        </w:rPr>
        <w:t> </w:t>
      </w:r>
      <w:r>
        <w:rPr>
          <w:sz w:val="24"/>
        </w:rPr>
        <w:t>colaboradoras</w:t>
      </w:r>
      <w:r>
        <w:rPr>
          <w:spacing w:val="-6"/>
          <w:sz w:val="24"/>
        </w:rPr>
        <w:t> </w:t>
      </w:r>
      <w:r>
        <w:rPr>
          <w:sz w:val="24"/>
        </w:rPr>
        <w:t>y</w:t>
      </w:r>
      <w:r>
        <w:rPr>
          <w:spacing w:val="-5"/>
          <w:sz w:val="24"/>
        </w:rPr>
        <w:t> </w:t>
      </w:r>
      <w:r>
        <w:rPr>
          <w:sz w:val="24"/>
        </w:rPr>
        <w:t>entidades</w:t>
      </w:r>
      <w:r>
        <w:rPr>
          <w:spacing w:val="-5"/>
          <w:sz w:val="24"/>
        </w:rPr>
        <w:t> </w:t>
      </w:r>
      <w:r>
        <w:rPr>
          <w:spacing w:val="-2"/>
          <w:sz w:val="24"/>
        </w:rPr>
        <w:t>aliadas.</w:t>
      </w:r>
    </w:p>
    <w:p>
      <w:pPr>
        <w:pStyle w:val="ListParagraph"/>
        <w:numPr>
          <w:ilvl w:val="0"/>
          <w:numId w:val="1"/>
        </w:numPr>
        <w:tabs>
          <w:tab w:pos="947" w:val="left" w:leader="none"/>
        </w:tabs>
        <w:spacing w:line="362" w:lineRule="auto" w:before="144" w:after="0"/>
        <w:ind w:left="947" w:right="1275" w:hanging="360"/>
        <w:jc w:val="both"/>
        <w:rPr>
          <w:sz w:val="24"/>
        </w:rPr>
      </w:pPr>
      <w:r>
        <w:rPr>
          <w:sz w:val="24"/>
        </w:rPr>
        <w:t>Al equipo administrativo, cuyo refuerzo ha sido clave para sostener el nivel de actividad alcanzado.</w:t>
      </w:r>
    </w:p>
    <w:p>
      <w:pPr>
        <w:pStyle w:val="ListParagraph"/>
        <w:spacing w:after="0" w:line="362" w:lineRule="auto"/>
        <w:jc w:val="both"/>
        <w:rPr>
          <w:sz w:val="24"/>
        </w:rPr>
        <w:sectPr>
          <w:pgSz w:w="11900" w:h="16840"/>
          <w:pgMar w:header="0" w:footer="468" w:top="1240" w:bottom="660" w:left="1275" w:right="283"/>
        </w:sectPr>
      </w:pPr>
    </w:p>
    <w:p>
      <w:pPr>
        <w:pStyle w:val="BodyText"/>
        <w:spacing w:line="360" w:lineRule="auto" w:before="82"/>
        <w:ind w:left="328" w:right="1273"/>
        <w:jc w:val="both"/>
      </w:pPr>
      <w:r>
        <w:rPr/>
        <w:t>Con</w:t>
      </w:r>
      <w:r>
        <w:rPr>
          <w:spacing w:val="-6"/>
        </w:rPr>
        <w:t> </w:t>
      </w:r>
      <w:r>
        <w:rPr/>
        <w:t>responsabilidad,</w:t>
      </w:r>
      <w:r>
        <w:rPr>
          <w:spacing w:val="-6"/>
        </w:rPr>
        <w:t> </w:t>
      </w:r>
      <w:r>
        <w:rPr/>
        <w:t>rigor</w:t>
      </w:r>
      <w:r>
        <w:rPr>
          <w:spacing w:val="-6"/>
        </w:rPr>
        <w:t> </w:t>
      </w:r>
      <w:r>
        <w:rPr/>
        <w:t>y</w:t>
      </w:r>
      <w:r>
        <w:rPr>
          <w:spacing w:val="-6"/>
        </w:rPr>
        <w:t> </w:t>
      </w:r>
      <w:r>
        <w:rPr/>
        <w:t>visión</w:t>
      </w:r>
      <w:r>
        <w:rPr>
          <w:spacing w:val="-6"/>
        </w:rPr>
        <w:t> </w:t>
      </w:r>
      <w:r>
        <w:rPr/>
        <w:t>de</w:t>
      </w:r>
      <w:r>
        <w:rPr>
          <w:spacing w:val="-6"/>
        </w:rPr>
        <w:t> </w:t>
      </w:r>
      <w:r>
        <w:rPr/>
        <w:t>futuro,</w:t>
      </w:r>
      <w:r>
        <w:rPr>
          <w:spacing w:val="-6"/>
        </w:rPr>
        <w:t> </w:t>
      </w:r>
      <w:r>
        <w:rPr/>
        <w:t>iniciamos</w:t>
      </w:r>
      <w:r>
        <w:rPr>
          <w:spacing w:val="-6"/>
        </w:rPr>
        <w:t> </w:t>
      </w:r>
      <w:r>
        <w:rPr/>
        <w:t>esta</w:t>
      </w:r>
      <w:r>
        <w:rPr>
          <w:spacing w:val="-6"/>
        </w:rPr>
        <w:t> </w:t>
      </w:r>
      <w:r>
        <w:rPr/>
        <w:t>nueva</w:t>
      </w:r>
      <w:r>
        <w:rPr>
          <w:spacing w:val="-6"/>
        </w:rPr>
        <w:t> </w:t>
      </w:r>
      <w:r>
        <w:rPr/>
        <w:t>etapa</w:t>
      </w:r>
      <w:r>
        <w:rPr>
          <w:spacing w:val="-6"/>
        </w:rPr>
        <w:t> </w:t>
      </w:r>
      <w:r>
        <w:rPr/>
        <w:t>con</w:t>
      </w:r>
      <w:r>
        <w:rPr>
          <w:spacing w:val="-6"/>
        </w:rPr>
        <w:t> </w:t>
      </w:r>
      <w:r>
        <w:rPr/>
        <w:t>la</w:t>
      </w:r>
      <w:r>
        <w:rPr>
          <w:spacing w:val="-6"/>
        </w:rPr>
        <w:t> </w:t>
      </w:r>
      <w:r>
        <w:rPr/>
        <w:t>convicción de que el Colegio Oficial de Químicos de Canarias seguirá siendo un referente profesional y un actor relevante en la construcción de una Canarias más innovadora, sostenible y comprometida con el conocimiento científico.</w:t>
      </w:r>
    </w:p>
    <w:p>
      <w:pPr>
        <w:pStyle w:val="BodyText"/>
        <w:spacing w:line="292" w:lineRule="exact"/>
        <w:ind w:left="3131"/>
        <w:jc w:val="both"/>
      </w:pPr>
      <w:r>
        <w:rPr/>
        <w:t>María</w:t>
      </w:r>
      <w:r>
        <w:rPr>
          <w:spacing w:val="-1"/>
        </w:rPr>
        <w:t> </w:t>
      </w:r>
      <w:r>
        <w:rPr/>
        <w:t>Candelaria</w:t>
      </w:r>
      <w:r>
        <w:rPr>
          <w:spacing w:val="-1"/>
        </w:rPr>
        <w:t> </w:t>
      </w:r>
      <w:r>
        <w:rPr/>
        <w:t>Sánchez</w:t>
      </w:r>
      <w:r>
        <w:rPr>
          <w:spacing w:val="-1"/>
        </w:rPr>
        <w:t> </w:t>
      </w:r>
      <w:r>
        <w:rPr>
          <w:spacing w:val="-2"/>
        </w:rPr>
        <w:t>Galán</w:t>
      </w:r>
    </w:p>
    <w:p>
      <w:pPr>
        <w:pStyle w:val="BodyText"/>
        <w:spacing w:before="148"/>
        <w:ind w:left="2218"/>
      </w:pPr>
      <w:r>
        <w:rPr/>
        <w:t>Decana</w:t>
      </w:r>
      <w:r>
        <w:rPr>
          <w:spacing w:val="-7"/>
        </w:rPr>
        <w:t> </w:t>
      </w:r>
      <w:r>
        <w:rPr/>
        <w:t>del</w:t>
      </w:r>
      <w:r>
        <w:rPr>
          <w:spacing w:val="-4"/>
        </w:rPr>
        <w:t> </w:t>
      </w:r>
      <w:r>
        <w:rPr/>
        <w:t>Colegio</w:t>
      </w:r>
      <w:r>
        <w:rPr>
          <w:spacing w:val="-4"/>
        </w:rPr>
        <w:t> </w:t>
      </w:r>
      <w:r>
        <w:rPr/>
        <w:t>Oficial</w:t>
      </w:r>
      <w:r>
        <w:rPr>
          <w:spacing w:val="-4"/>
        </w:rPr>
        <w:t> </w:t>
      </w:r>
      <w:r>
        <w:rPr/>
        <w:t>de</w:t>
      </w:r>
      <w:r>
        <w:rPr>
          <w:spacing w:val="-3"/>
        </w:rPr>
        <w:t> </w:t>
      </w:r>
      <w:r>
        <w:rPr/>
        <w:t>Químicos</w:t>
      </w:r>
      <w:r>
        <w:rPr>
          <w:spacing w:val="-4"/>
        </w:rPr>
        <w:t> </w:t>
      </w:r>
      <w:r>
        <w:rPr/>
        <w:t>de</w:t>
      </w:r>
      <w:r>
        <w:rPr>
          <w:spacing w:val="-19"/>
        </w:rPr>
        <w:t> </w:t>
      </w:r>
      <w:r>
        <w:rPr>
          <w:spacing w:val="-2"/>
        </w:rPr>
        <w:t>Canarias</w:t>
      </w:r>
    </w:p>
    <w:p>
      <w:pPr>
        <w:pStyle w:val="BodyText"/>
        <w:spacing w:after="0"/>
        <w:sectPr>
          <w:pgSz w:w="11900" w:h="16840"/>
          <w:pgMar w:header="0" w:footer="468" w:top="1240" w:bottom="660" w:left="1275" w:right="283"/>
        </w:sectPr>
      </w:pPr>
    </w:p>
    <w:p>
      <w:pPr>
        <w:pStyle w:val="Heading1"/>
        <w:rPr>
          <w:b w:val="0"/>
        </w:rPr>
      </w:pPr>
      <w:bookmarkStart w:name="_TOC_250016" w:id="3"/>
      <w:r>
        <w:rPr>
          <w:b w:val="0"/>
        </w:rPr>
        <w:t>JUNTA</w:t>
      </w:r>
      <w:r>
        <w:rPr>
          <w:b w:val="0"/>
          <w:spacing w:val="-2"/>
        </w:rPr>
        <w:t> </w:t>
      </w:r>
      <w:r>
        <w:rPr>
          <w:b w:val="0"/>
        </w:rPr>
        <w:t>DE</w:t>
      </w:r>
      <w:r>
        <w:rPr>
          <w:b w:val="0"/>
          <w:spacing w:val="-14"/>
        </w:rPr>
        <w:t> </w:t>
      </w:r>
      <w:bookmarkEnd w:id="3"/>
      <w:r>
        <w:rPr>
          <w:b w:val="0"/>
          <w:spacing w:val="-2"/>
        </w:rPr>
        <w:t>GOBIERNO</w:t>
      </w:r>
    </w:p>
    <w:p>
      <w:pPr>
        <w:pStyle w:val="Heading3"/>
        <w:spacing w:before="357"/>
        <w:jc w:val="left"/>
      </w:pPr>
      <w:bookmarkStart w:name="_TOC_250015" w:id="4"/>
      <w:r>
        <w:rPr/>
        <w:t>Miembros</w:t>
      </w:r>
      <w:r>
        <w:rPr>
          <w:spacing w:val="-5"/>
        </w:rPr>
        <w:t> </w:t>
      </w:r>
      <w:r>
        <w:rPr/>
        <w:t>de</w:t>
      </w:r>
      <w:r>
        <w:rPr>
          <w:spacing w:val="-4"/>
        </w:rPr>
        <w:t> </w:t>
      </w:r>
      <w:r>
        <w:rPr/>
        <w:t>la</w:t>
      </w:r>
      <w:r>
        <w:rPr>
          <w:spacing w:val="-4"/>
        </w:rPr>
        <w:t> </w:t>
      </w:r>
      <w:r>
        <w:rPr/>
        <w:t>Junta</w:t>
      </w:r>
      <w:r>
        <w:rPr>
          <w:spacing w:val="-5"/>
        </w:rPr>
        <w:t> </w:t>
      </w:r>
      <w:r>
        <w:rPr/>
        <w:t>de</w:t>
      </w:r>
      <w:r>
        <w:rPr>
          <w:spacing w:val="-16"/>
        </w:rPr>
        <w:t> </w:t>
      </w:r>
      <w:bookmarkEnd w:id="4"/>
      <w:r>
        <w:rPr>
          <w:spacing w:val="-2"/>
        </w:rPr>
        <w:t>Gobierno</w:t>
      </w:r>
    </w:p>
    <w:p>
      <w:pPr>
        <w:pStyle w:val="BodyText"/>
        <w:spacing w:before="314"/>
        <w:ind w:left="328"/>
      </w:pPr>
      <w:r>
        <w:rPr/>
        <w:t>DESDE</w:t>
      </w:r>
      <w:r>
        <w:rPr>
          <w:spacing w:val="-3"/>
        </w:rPr>
        <w:t> </w:t>
      </w:r>
      <w:r>
        <w:rPr/>
        <w:t>EL</w:t>
      </w:r>
      <w:r>
        <w:rPr>
          <w:spacing w:val="-8"/>
        </w:rPr>
        <w:t> </w:t>
      </w:r>
      <w:r>
        <w:rPr>
          <w:spacing w:val="-2"/>
        </w:rPr>
        <w:t>02/12/2022</w:t>
      </w:r>
    </w:p>
    <w:p>
      <w:pPr>
        <w:pStyle w:val="ListParagraph"/>
        <w:numPr>
          <w:ilvl w:val="1"/>
          <w:numId w:val="1"/>
        </w:numPr>
        <w:tabs>
          <w:tab w:pos="1048" w:val="left" w:leader="none"/>
        </w:tabs>
        <w:spacing w:line="240" w:lineRule="auto" w:before="270" w:after="0"/>
        <w:ind w:left="1048" w:right="0" w:hanging="360"/>
        <w:jc w:val="left"/>
        <w:rPr>
          <w:sz w:val="24"/>
        </w:rPr>
      </w:pPr>
      <w:r>
        <w:rPr>
          <w:sz w:val="24"/>
        </w:rPr>
        <w:t>Decana</w:t>
      </w:r>
      <w:r>
        <w:rPr>
          <w:spacing w:val="-4"/>
          <w:sz w:val="24"/>
        </w:rPr>
        <w:t> </w:t>
      </w:r>
      <w:r>
        <w:rPr>
          <w:sz w:val="24"/>
        </w:rPr>
        <w:t>Dña.</w:t>
      </w:r>
      <w:r>
        <w:rPr>
          <w:spacing w:val="-2"/>
          <w:sz w:val="24"/>
        </w:rPr>
        <w:t> </w:t>
      </w:r>
      <w:r>
        <w:rPr>
          <w:sz w:val="24"/>
        </w:rPr>
        <w:t>María</w:t>
      </w:r>
      <w:r>
        <w:rPr>
          <w:spacing w:val="-1"/>
          <w:sz w:val="24"/>
        </w:rPr>
        <w:t> </w:t>
      </w:r>
      <w:r>
        <w:rPr>
          <w:sz w:val="24"/>
        </w:rPr>
        <w:t>Candelaria</w:t>
      </w:r>
      <w:r>
        <w:rPr>
          <w:spacing w:val="-2"/>
          <w:sz w:val="24"/>
        </w:rPr>
        <w:t> </w:t>
      </w:r>
      <w:r>
        <w:rPr>
          <w:sz w:val="24"/>
        </w:rPr>
        <w:t>Sánchez</w:t>
      </w:r>
      <w:r>
        <w:rPr>
          <w:spacing w:val="-1"/>
          <w:sz w:val="24"/>
        </w:rPr>
        <w:t> </w:t>
      </w:r>
      <w:r>
        <w:rPr>
          <w:spacing w:val="-2"/>
          <w:sz w:val="24"/>
        </w:rPr>
        <w:t>Galán.</w:t>
      </w:r>
    </w:p>
    <w:p>
      <w:pPr>
        <w:pStyle w:val="ListParagraph"/>
        <w:numPr>
          <w:ilvl w:val="1"/>
          <w:numId w:val="1"/>
        </w:numPr>
        <w:tabs>
          <w:tab w:pos="1048" w:val="left" w:leader="none"/>
        </w:tabs>
        <w:spacing w:line="240" w:lineRule="auto" w:before="271" w:after="0"/>
        <w:ind w:left="1048" w:right="0" w:hanging="360"/>
        <w:jc w:val="left"/>
        <w:rPr>
          <w:sz w:val="24"/>
        </w:rPr>
      </w:pPr>
      <w:r>
        <w:rPr>
          <w:sz w:val="24"/>
        </w:rPr>
        <w:t>Vicedecano</w:t>
      </w:r>
      <w:r>
        <w:rPr>
          <w:spacing w:val="-5"/>
          <w:sz w:val="24"/>
        </w:rPr>
        <w:t> </w:t>
      </w:r>
      <w:r>
        <w:rPr>
          <w:sz w:val="24"/>
        </w:rPr>
        <w:t>1º</w:t>
      </w:r>
      <w:r>
        <w:rPr>
          <w:spacing w:val="-4"/>
          <w:sz w:val="24"/>
        </w:rPr>
        <w:t> </w:t>
      </w:r>
      <w:r>
        <w:rPr>
          <w:sz w:val="24"/>
        </w:rPr>
        <w:t>D.</w:t>
      </w:r>
      <w:r>
        <w:rPr>
          <w:spacing w:val="-4"/>
          <w:sz w:val="24"/>
        </w:rPr>
        <w:t> </w:t>
      </w:r>
      <w:r>
        <w:rPr>
          <w:sz w:val="24"/>
        </w:rPr>
        <w:t>Javier</w:t>
      </w:r>
      <w:r>
        <w:rPr>
          <w:spacing w:val="-3"/>
          <w:sz w:val="24"/>
        </w:rPr>
        <w:t> </w:t>
      </w:r>
      <w:r>
        <w:rPr>
          <w:sz w:val="24"/>
        </w:rPr>
        <w:t>del</w:t>
      </w:r>
      <w:r>
        <w:rPr>
          <w:spacing w:val="-4"/>
          <w:sz w:val="24"/>
        </w:rPr>
        <w:t> </w:t>
      </w:r>
      <w:r>
        <w:rPr>
          <w:sz w:val="24"/>
        </w:rPr>
        <w:t>Barrio</w:t>
      </w:r>
      <w:r>
        <w:rPr>
          <w:spacing w:val="-9"/>
          <w:sz w:val="24"/>
        </w:rPr>
        <w:t> </w:t>
      </w:r>
      <w:r>
        <w:rPr>
          <w:spacing w:val="-2"/>
          <w:sz w:val="24"/>
        </w:rPr>
        <w:t>Izquierdo.</w:t>
      </w:r>
    </w:p>
    <w:p>
      <w:pPr>
        <w:pStyle w:val="ListParagraph"/>
        <w:numPr>
          <w:ilvl w:val="1"/>
          <w:numId w:val="1"/>
        </w:numPr>
        <w:tabs>
          <w:tab w:pos="1048" w:val="left" w:leader="none"/>
        </w:tabs>
        <w:spacing w:line="240" w:lineRule="auto" w:before="265" w:after="0"/>
        <w:ind w:left="1048" w:right="0" w:hanging="360"/>
        <w:jc w:val="left"/>
        <w:rPr>
          <w:sz w:val="24"/>
        </w:rPr>
      </w:pPr>
      <w:r>
        <w:rPr>
          <w:sz w:val="24"/>
        </w:rPr>
        <w:t>Vicedecano</w:t>
      </w:r>
      <w:r>
        <w:rPr>
          <w:spacing w:val="-4"/>
          <w:sz w:val="24"/>
        </w:rPr>
        <w:t> </w:t>
      </w:r>
      <w:r>
        <w:rPr>
          <w:sz w:val="24"/>
        </w:rPr>
        <w:t>2º</w:t>
      </w:r>
      <w:r>
        <w:rPr>
          <w:spacing w:val="-4"/>
          <w:sz w:val="24"/>
        </w:rPr>
        <w:t> </w:t>
      </w:r>
      <w:r>
        <w:rPr>
          <w:sz w:val="24"/>
        </w:rPr>
        <w:t>D.</w:t>
      </w:r>
      <w:r>
        <w:rPr>
          <w:spacing w:val="-4"/>
          <w:sz w:val="24"/>
        </w:rPr>
        <w:t> </w:t>
      </w:r>
      <w:r>
        <w:rPr>
          <w:sz w:val="24"/>
        </w:rPr>
        <w:t>José</w:t>
      </w:r>
      <w:r>
        <w:rPr>
          <w:spacing w:val="-3"/>
          <w:sz w:val="24"/>
        </w:rPr>
        <w:t> </w:t>
      </w:r>
      <w:r>
        <w:rPr>
          <w:sz w:val="24"/>
        </w:rPr>
        <w:t>Michael</w:t>
      </w:r>
      <w:r>
        <w:rPr>
          <w:spacing w:val="-4"/>
          <w:sz w:val="24"/>
        </w:rPr>
        <w:t> </w:t>
      </w:r>
      <w:r>
        <w:rPr>
          <w:sz w:val="24"/>
        </w:rPr>
        <w:t>Ortega</w:t>
      </w:r>
      <w:r>
        <w:rPr>
          <w:spacing w:val="-8"/>
          <w:sz w:val="24"/>
        </w:rPr>
        <w:t> </w:t>
      </w:r>
      <w:r>
        <w:rPr>
          <w:spacing w:val="-2"/>
          <w:sz w:val="24"/>
        </w:rPr>
        <w:t>Nash.</w:t>
      </w:r>
    </w:p>
    <w:p>
      <w:pPr>
        <w:pStyle w:val="ListParagraph"/>
        <w:numPr>
          <w:ilvl w:val="1"/>
          <w:numId w:val="1"/>
        </w:numPr>
        <w:tabs>
          <w:tab w:pos="1048" w:val="left" w:leader="none"/>
        </w:tabs>
        <w:spacing w:line="240" w:lineRule="auto" w:before="266" w:after="0"/>
        <w:ind w:left="1048" w:right="0" w:hanging="360"/>
        <w:jc w:val="left"/>
        <w:rPr>
          <w:sz w:val="24"/>
        </w:rPr>
      </w:pPr>
      <w:r>
        <w:rPr>
          <w:sz w:val="24"/>
        </w:rPr>
        <w:t>Secretario</w:t>
      </w:r>
      <w:r>
        <w:rPr>
          <w:spacing w:val="-7"/>
          <w:sz w:val="24"/>
        </w:rPr>
        <w:t> </w:t>
      </w:r>
      <w:r>
        <w:rPr>
          <w:sz w:val="24"/>
        </w:rPr>
        <w:t>D.</w:t>
      </w:r>
      <w:r>
        <w:rPr>
          <w:spacing w:val="-6"/>
          <w:sz w:val="24"/>
        </w:rPr>
        <w:t> </w:t>
      </w:r>
      <w:r>
        <w:rPr>
          <w:sz w:val="24"/>
        </w:rPr>
        <w:t>Christian</w:t>
      </w:r>
      <w:r>
        <w:rPr>
          <w:spacing w:val="-7"/>
          <w:sz w:val="24"/>
        </w:rPr>
        <w:t> </w:t>
      </w:r>
      <w:r>
        <w:rPr>
          <w:sz w:val="24"/>
        </w:rPr>
        <w:t>Aaron</w:t>
      </w:r>
      <w:r>
        <w:rPr>
          <w:spacing w:val="-6"/>
          <w:sz w:val="24"/>
        </w:rPr>
        <w:t> </w:t>
      </w:r>
      <w:r>
        <w:rPr>
          <w:sz w:val="24"/>
        </w:rPr>
        <w:t>Martín</w:t>
      </w:r>
      <w:r>
        <w:rPr>
          <w:spacing w:val="-5"/>
          <w:sz w:val="24"/>
        </w:rPr>
        <w:t> </w:t>
      </w:r>
      <w:r>
        <w:rPr>
          <w:spacing w:val="-2"/>
          <w:sz w:val="24"/>
        </w:rPr>
        <w:t>González.</w:t>
      </w:r>
    </w:p>
    <w:p>
      <w:pPr>
        <w:pStyle w:val="ListParagraph"/>
        <w:numPr>
          <w:ilvl w:val="1"/>
          <w:numId w:val="1"/>
        </w:numPr>
        <w:tabs>
          <w:tab w:pos="1048" w:val="left" w:leader="none"/>
        </w:tabs>
        <w:spacing w:line="240" w:lineRule="auto" w:before="265" w:after="0"/>
        <w:ind w:left="1048" w:right="0" w:hanging="360"/>
        <w:jc w:val="left"/>
        <w:rPr>
          <w:sz w:val="24"/>
        </w:rPr>
      </w:pPr>
      <w:r>
        <w:rPr>
          <w:sz w:val="24"/>
        </w:rPr>
        <w:t>Vicesecretario</w:t>
      </w:r>
      <w:r>
        <w:rPr>
          <w:spacing w:val="-6"/>
          <w:sz w:val="24"/>
        </w:rPr>
        <w:t> </w:t>
      </w:r>
      <w:r>
        <w:rPr>
          <w:sz w:val="24"/>
        </w:rPr>
        <w:t>D.</w:t>
      </w:r>
      <w:r>
        <w:rPr>
          <w:spacing w:val="-5"/>
          <w:sz w:val="24"/>
        </w:rPr>
        <w:t> </w:t>
      </w:r>
      <w:r>
        <w:rPr>
          <w:sz w:val="24"/>
        </w:rPr>
        <w:t>Manuel</w:t>
      </w:r>
      <w:r>
        <w:rPr>
          <w:spacing w:val="-5"/>
          <w:sz w:val="24"/>
        </w:rPr>
        <w:t> </w:t>
      </w:r>
      <w:r>
        <w:rPr>
          <w:sz w:val="24"/>
        </w:rPr>
        <w:t>Antonio</w:t>
      </w:r>
      <w:r>
        <w:rPr>
          <w:spacing w:val="-6"/>
          <w:sz w:val="24"/>
        </w:rPr>
        <w:t> </w:t>
      </w:r>
      <w:r>
        <w:rPr>
          <w:sz w:val="24"/>
        </w:rPr>
        <w:t>Grau</w:t>
      </w:r>
      <w:r>
        <w:rPr>
          <w:spacing w:val="-5"/>
          <w:sz w:val="24"/>
        </w:rPr>
        <w:t> </w:t>
      </w:r>
      <w:r>
        <w:rPr>
          <w:sz w:val="24"/>
        </w:rPr>
        <w:t>de</w:t>
      </w:r>
      <w:r>
        <w:rPr>
          <w:spacing w:val="-4"/>
          <w:sz w:val="24"/>
        </w:rPr>
        <w:t> </w:t>
      </w:r>
      <w:r>
        <w:rPr>
          <w:sz w:val="24"/>
        </w:rPr>
        <w:t>los</w:t>
      </w:r>
      <w:r>
        <w:rPr>
          <w:spacing w:val="-7"/>
          <w:sz w:val="24"/>
        </w:rPr>
        <w:t> </w:t>
      </w:r>
      <w:r>
        <w:rPr>
          <w:spacing w:val="-2"/>
          <w:sz w:val="24"/>
        </w:rPr>
        <w:t>Reyes.</w:t>
      </w:r>
    </w:p>
    <w:p>
      <w:pPr>
        <w:pStyle w:val="ListParagraph"/>
        <w:numPr>
          <w:ilvl w:val="1"/>
          <w:numId w:val="1"/>
        </w:numPr>
        <w:tabs>
          <w:tab w:pos="1048" w:val="left" w:leader="none"/>
        </w:tabs>
        <w:spacing w:line="240" w:lineRule="auto" w:before="265" w:after="0"/>
        <w:ind w:left="1048" w:right="0" w:hanging="360"/>
        <w:jc w:val="left"/>
        <w:rPr>
          <w:sz w:val="24"/>
        </w:rPr>
      </w:pPr>
      <w:r>
        <w:rPr>
          <w:sz w:val="24"/>
        </w:rPr>
        <w:t>Tesorero</w:t>
      </w:r>
      <w:r>
        <w:rPr>
          <w:spacing w:val="-5"/>
          <w:sz w:val="24"/>
        </w:rPr>
        <w:t> </w:t>
      </w:r>
      <w:r>
        <w:rPr>
          <w:sz w:val="24"/>
        </w:rPr>
        <w:t>D.</w:t>
      </w:r>
      <w:r>
        <w:rPr>
          <w:spacing w:val="-5"/>
          <w:sz w:val="24"/>
        </w:rPr>
        <w:t> </w:t>
      </w:r>
      <w:r>
        <w:rPr>
          <w:sz w:val="24"/>
        </w:rPr>
        <w:t>Ezequiel</w:t>
      </w:r>
      <w:r>
        <w:rPr>
          <w:spacing w:val="-5"/>
          <w:sz w:val="24"/>
        </w:rPr>
        <w:t> </w:t>
      </w:r>
      <w:r>
        <w:rPr>
          <w:sz w:val="24"/>
        </w:rPr>
        <w:t>Ortega</w:t>
      </w:r>
      <w:r>
        <w:rPr>
          <w:spacing w:val="-7"/>
          <w:sz w:val="24"/>
        </w:rPr>
        <w:t> </w:t>
      </w:r>
      <w:r>
        <w:rPr>
          <w:spacing w:val="-2"/>
          <w:sz w:val="24"/>
        </w:rPr>
        <w:t>Cuevas.</w:t>
      </w:r>
    </w:p>
    <w:p>
      <w:pPr>
        <w:pStyle w:val="ListParagraph"/>
        <w:numPr>
          <w:ilvl w:val="1"/>
          <w:numId w:val="1"/>
        </w:numPr>
        <w:tabs>
          <w:tab w:pos="1048" w:val="left" w:leader="none"/>
        </w:tabs>
        <w:spacing w:line="240" w:lineRule="auto" w:before="271" w:after="0"/>
        <w:ind w:left="1048" w:right="0" w:hanging="360"/>
        <w:jc w:val="left"/>
        <w:rPr>
          <w:sz w:val="24"/>
        </w:rPr>
      </w:pPr>
      <w:r>
        <w:rPr>
          <w:sz w:val="24"/>
        </w:rPr>
        <w:t>Vocal</w:t>
      </w:r>
      <w:r>
        <w:rPr>
          <w:spacing w:val="-3"/>
          <w:sz w:val="24"/>
        </w:rPr>
        <w:t> </w:t>
      </w:r>
      <w:r>
        <w:rPr>
          <w:sz w:val="24"/>
        </w:rPr>
        <w:t>1º</w:t>
      </w:r>
      <w:r>
        <w:rPr>
          <w:spacing w:val="-2"/>
          <w:sz w:val="24"/>
        </w:rPr>
        <w:t> </w:t>
      </w:r>
      <w:r>
        <w:rPr>
          <w:sz w:val="24"/>
        </w:rPr>
        <w:t>D.</w:t>
      </w:r>
      <w:r>
        <w:rPr>
          <w:spacing w:val="-3"/>
          <w:sz w:val="24"/>
        </w:rPr>
        <w:t> </w:t>
      </w:r>
      <w:r>
        <w:rPr>
          <w:sz w:val="24"/>
        </w:rPr>
        <w:t>José</w:t>
      </w:r>
      <w:r>
        <w:rPr>
          <w:spacing w:val="-2"/>
          <w:sz w:val="24"/>
        </w:rPr>
        <w:t> </w:t>
      </w:r>
      <w:r>
        <w:rPr>
          <w:sz w:val="24"/>
        </w:rPr>
        <w:t>Luis</w:t>
      </w:r>
      <w:r>
        <w:rPr>
          <w:spacing w:val="-2"/>
          <w:sz w:val="24"/>
        </w:rPr>
        <w:t> </w:t>
      </w:r>
      <w:r>
        <w:rPr>
          <w:sz w:val="24"/>
        </w:rPr>
        <w:t>Cruz</w:t>
      </w:r>
      <w:r>
        <w:rPr>
          <w:spacing w:val="-4"/>
          <w:sz w:val="24"/>
        </w:rPr>
        <w:t> </w:t>
      </w:r>
      <w:r>
        <w:rPr>
          <w:spacing w:val="-2"/>
          <w:sz w:val="24"/>
        </w:rPr>
        <w:t>García.</w:t>
      </w:r>
    </w:p>
    <w:p>
      <w:pPr>
        <w:pStyle w:val="ListParagraph"/>
        <w:numPr>
          <w:ilvl w:val="1"/>
          <w:numId w:val="1"/>
        </w:numPr>
        <w:tabs>
          <w:tab w:pos="1048" w:val="left" w:leader="none"/>
        </w:tabs>
        <w:spacing w:line="240" w:lineRule="auto" w:before="265" w:after="0"/>
        <w:ind w:left="1048" w:right="0" w:hanging="360"/>
        <w:jc w:val="left"/>
        <w:rPr>
          <w:sz w:val="24"/>
        </w:rPr>
      </w:pPr>
      <w:r>
        <w:rPr>
          <w:sz w:val="24"/>
        </w:rPr>
        <w:t>Vocal</w:t>
      </w:r>
      <w:r>
        <w:rPr>
          <w:spacing w:val="-5"/>
          <w:sz w:val="24"/>
        </w:rPr>
        <w:t> </w:t>
      </w:r>
      <w:r>
        <w:rPr>
          <w:sz w:val="24"/>
        </w:rPr>
        <w:t>2º</w:t>
      </w:r>
      <w:r>
        <w:rPr>
          <w:spacing w:val="-2"/>
          <w:sz w:val="24"/>
        </w:rPr>
        <w:t> </w:t>
      </w:r>
      <w:r>
        <w:rPr>
          <w:sz w:val="24"/>
        </w:rPr>
        <w:t>Dña.</w:t>
      </w:r>
      <w:r>
        <w:rPr>
          <w:spacing w:val="-3"/>
          <w:sz w:val="24"/>
        </w:rPr>
        <w:t> </w:t>
      </w:r>
      <w:r>
        <w:rPr>
          <w:sz w:val="24"/>
        </w:rPr>
        <w:t>Laura</w:t>
      </w:r>
      <w:r>
        <w:rPr>
          <w:spacing w:val="-2"/>
          <w:sz w:val="24"/>
        </w:rPr>
        <w:t> </w:t>
      </w:r>
      <w:r>
        <w:rPr>
          <w:sz w:val="24"/>
        </w:rPr>
        <w:t>Margarita</w:t>
      </w:r>
      <w:r>
        <w:rPr>
          <w:spacing w:val="-2"/>
          <w:sz w:val="24"/>
        </w:rPr>
        <w:t> </w:t>
      </w:r>
      <w:r>
        <w:rPr>
          <w:sz w:val="24"/>
        </w:rPr>
        <w:t>Salazar</w:t>
      </w:r>
      <w:r>
        <w:rPr>
          <w:spacing w:val="-7"/>
          <w:sz w:val="24"/>
        </w:rPr>
        <w:t> </w:t>
      </w:r>
      <w:r>
        <w:rPr>
          <w:spacing w:val="-2"/>
          <w:sz w:val="24"/>
        </w:rPr>
        <w:t>Martín.</w:t>
      </w:r>
    </w:p>
    <w:p>
      <w:pPr>
        <w:pStyle w:val="ListParagraph"/>
        <w:numPr>
          <w:ilvl w:val="1"/>
          <w:numId w:val="1"/>
        </w:numPr>
        <w:tabs>
          <w:tab w:pos="1048" w:val="left" w:leader="none"/>
        </w:tabs>
        <w:spacing w:line="240" w:lineRule="auto" w:before="270" w:after="0"/>
        <w:ind w:left="1048" w:right="0" w:hanging="360"/>
        <w:jc w:val="left"/>
        <w:rPr>
          <w:sz w:val="24"/>
        </w:rPr>
      </w:pPr>
      <w:r>
        <w:rPr>
          <w:sz w:val="24"/>
        </w:rPr>
        <w:t>Vocal</w:t>
      </w:r>
      <w:r>
        <w:rPr>
          <w:spacing w:val="-3"/>
          <w:sz w:val="24"/>
        </w:rPr>
        <w:t> </w:t>
      </w:r>
      <w:r>
        <w:rPr>
          <w:sz w:val="24"/>
        </w:rPr>
        <w:t>3º</w:t>
      </w:r>
      <w:r>
        <w:rPr>
          <w:spacing w:val="-2"/>
          <w:sz w:val="24"/>
        </w:rPr>
        <w:t> </w:t>
      </w:r>
      <w:r>
        <w:rPr>
          <w:sz w:val="24"/>
        </w:rPr>
        <w:t>D.</w:t>
      </w:r>
      <w:r>
        <w:rPr>
          <w:spacing w:val="-2"/>
          <w:sz w:val="24"/>
        </w:rPr>
        <w:t> </w:t>
      </w:r>
      <w:r>
        <w:rPr>
          <w:sz w:val="24"/>
        </w:rPr>
        <w:t>Amanhuy</w:t>
      </w:r>
      <w:r>
        <w:rPr>
          <w:spacing w:val="-1"/>
          <w:sz w:val="24"/>
        </w:rPr>
        <w:t> </w:t>
      </w:r>
      <w:r>
        <w:rPr>
          <w:sz w:val="24"/>
        </w:rPr>
        <w:t>Suárez</w:t>
      </w:r>
      <w:r>
        <w:rPr>
          <w:spacing w:val="-5"/>
          <w:sz w:val="24"/>
        </w:rPr>
        <w:t> </w:t>
      </w:r>
      <w:r>
        <w:rPr>
          <w:spacing w:val="-2"/>
          <w:sz w:val="24"/>
        </w:rPr>
        <w:t>Pérez.</w:t>
      </w:r>
    </w:p>
    <w:p>
      <w:pPr>
        <w:pStyle w:val="ListParagraph"/>
        <w:numPr>
          <w:ilvl w:val="1"/>
          <w:numId w:val="1"/>
        </w:numPr>
        <w:tabs>
          <w:tab w:pos="1048" w:val="left" w:leader="none"/>
        </w:tabs>
        <w:spacing w:line="240" w:lineRule="auto" w:before="266" w:after="0"/>
        <w:ind w:left="1048" w:right="0" w:hanging="360"/>
        <w:jc w:val="left"/>
        <w:rPr>
          <w:sz w:val="24"/>
        </w:rPr>
      </w:pPr>
      <w:r>
        <w:rPr>
          <w:sz w:val="24"/>
        </w:rPr>
        <w:t>Vocalía</w:t>
      </w:r>
      <w:r>
        <w:rPr>
          <w:spacing w:val="-6"/>
          <w:sz w:val="24"/>
        </w:rPr>
        <w:t> </w:t>
      </w:r>
      <w:r>
        <w:rPr>
          <w:sz w:val="24"/>
        </w:rPr>
        <w:t>del</w:t>
      </w:r>
      <w:r>
        <w:rPr>
          <w:spacing w:val="-4"/>
          <w:sz w:val="24"/>
        </w:rPr>
        <w:t> </w:t>
      </w:r>
      <w:r>
        <w:rPr>
          <w:sz w:val="24"/>
        </w:rPr>
        <w:t>Jubilado</w:t>
      </w:r>
      <w:r>
        <w:rPr>
          <w:spacing w:val="-3"/>
          <w:sz w:val="24"/>
        </w:rPr>
        <w:t> </w:t>
      </w:r>
      <w:r>
        <w:rPr>
          <w:sz w:val="24"/>
        </w:rPr>
        <w:t>D.</w:t>
      </w:r>
      <w:r>
        <w:rPr>
          <w:spacing w:val="-4"/>
          <w:sz w:val="24"/>
        </w:rPr>
        <w:t> </w:t>
      </w:r>
      <w:r>
        <w:rPr>
          <w:sz w:val="24"/>
        </w:rPr>
        <w:t>Íñigo</w:t>
      </w:r>
      <w:r>
        <w:rPr>
          <w:spacing w:val="-4"/>
          <w:sz w:val="24"/>
        </w:rPr>
        <w:t> </w:t>
      </w:r>
      <w:r>
        <w:rPr>
          <w:sz w:val="24"/>
        </w:rPr>
        <w:t>Jáudenes</w:t>
      </w:r>
      <w:r>
        <w:rPr>
          <w:spacing w:val="-3"/>
          <w:sz w:val="24"/>
        </w:rPr>
        <w:t> </w:t>
      </w:r>
      <w:r>
        <w:rPr>
          <w:sz w:val="24"/>
        </w:rPr>
        <w:t>Ruíz</w:t>
      </w:r>
      <w:r>
        <w:rPr>
          <w:spacing w:val="-4"/>
          <w:sz w:val="24"/>
        </w:rPr>
        <w:t> </w:t>
      </w:r>
      <w:r>
        <w:rPr>
          <w:sz w:val="24"/>
        </w:rPr>
        <w:t>de</w:t>
      </w:r>
      <w:r>
        <w:rPr>
          <w:spacing w:val="-2"/>
          <w:sz w:val="24"/>
        </w:rPr>
        <w:t> Atauri.</w:t>
      </w:r>
    </w:p>
    <w:p>
      <w:pPr>
        <w:pStyle w:val="ListParagraph"/>
        <w:numPr>
          <w:ilvl w:val="1"/>
          <w:numId w:val="1"/>
        </w:numPr>
        <w:tabs>
          <w:tab w:pos="1048" w:val="left" w:leader="none"/>
        </w:tabs>
        <w:spacing w:line="240" w:lineRule="auto" w:before="265" w:after="0"/>
        <w:ind w:left="1048" w:right="0" w:hanging="360"/>
        <w:jc w:val="left"/>
        <w:rPr>
          <w:sz w:val="24"/>
        </w:rPr>
      </w:pPr>
      <w:r>
        <w:rPr>
          <w:sz w:val="24"/>
        </w:rPr>
        <w:t>Presidenta-delegada</w:t>
      </w:r>
      <w:r>
        <w:rPr>
          <w:spacing w:val="-3"/>
          <w:sz w:val="24"/>
        </w:rPr>
        <w:t> </w:t>
      </w:r>
      <w:r>
        <w:rPr>
          <w:sz w:val="24"/>
        </w:rPr>
        <w:t>Gran</w:t>
      </w:r>
      <w:r>
        <w:rPr>
          <w:spacing w:val="-3"/>
          <w:sz w:val="24"/>
        </w:rPr>
        <w:t> </w:t>
      </w:r>
      <w:r>
        <w:rPr>
          <w:sz w:val="24"/>
        </w:rPr>
        <w:t>Canaria</w:t>
      </w:r>
      <w:r>
        <w:rPr>
          <w:spacing w:val="-2"/>
          <w:sz w:val="24"/>
        </w:rPr>
        <w:t> </w:t>
      </w:r>
      <w:r>
        <w:rPr>
          <w:sz w:val="24"/>
        </w:rPr>
        <w:t>Dña.</w:t>
      </w:r>
      <w:r>
        <w:rPr>
          <w:spacing w:val="-3"/>
          <w:sz w:val="24"/>
        </w:rPr>
        <w:t> </w:t>
      </w:r>
      <w:r>
        <w:rPr>
          <w:sz w:val="24"/>
        </w:rPr>
        <w:t>María</w:t>
      </w:r>
      <w:r>
        <w:rPr>
          <w:spacing w:val="-3"/>
          <w:sz w:val="24"/>
        </w:rPr>
        <w:t> </w:t>
      </w:r>
      <w:r>
        <w:rPr>
          <w:sz w:val="24"/>
        </w:rPr>
        <w:t>Lourdes</w:t>
      </w:r>
      <w:r>
        <w:rPr>
          <w:spacing w:val="-2"/>
          <w:sz w:val="24"/>
        </w:rPr>
        <w:t> </w:t>
      </w:r>
      <w:r>
        <w:rPr>
          <w:sz w:val="24"/>
        </w:rPr>
        <w:t>Ruíz</w:t>
      </w:r>
      <w:r>
        <w:rPr>
          <w:spacing w:val="-3"/>
          <w:sz w:val="24"/>
        </w:rPr>
        <w:t> </w:t>
      </w:r>
      <w:r>
        <w:rPr>
          <w:sz w:val="24"/>
        </w:rPr>
        <w:t>de</w:t>
      </w:r>
      <w:r>
        <w:rPr>
          <w:spacing w:val="-9"/>
          <w:sz w:val="24"/>
        </w:rPr>
        <w:t> </w:t>
      </w:r>
      <w:r>
        <w:rPr>
          <w:spacing w:val="-2"/>
          <w:sz w:val="24"/>
        </w:rPr>
        <w:t>Arteaga.</w:t>
      </w:r>
    </w:p>
    <w:p>
      <w:pPr>
        <w:pStyle w:val="ListParagraph"/>
        <w:numPr>
          <w:ilvl w:val="1"/>
          <w:numId w:val="1"/>
        </w:numPr>
        <w:tabs>
          <w:tab w:pos="1048" w:val="left" w:leader="none"/>
        </w:tabs>
        <w:spacing w:line="345" w:lineRule="auto" w:before="271" w:after="0"/>
        <w:ind w:left="1048" w:right="1532" w:hanging="361"/>
        <w:jc w:val="left"/>
        <w:rPr>
          <w:sz w:val="24"/>
        </w:rPr>
      </w:pPr>
      <w:r>
        <w:rPr>
          <w:sz w:val="24"/>
        </w:rPr>
        <w:t>Presidente-delegado</w:t>
      </w:r>
      <w:r>
        <w:rPr>
          <w:spacing w:val="-5"/>
          <w:sz w:val="24"/>
        </w:rPr>
        <w:t> </w:t>
      </w:r>
      <w:r>
        <w:rPr>
          <w:sz w:val="24"/>
        </w:rPr>
        <w:t>Lanzarote,</w:t>
      </w:r>
      <w:r>
        <w:rPr>
          <w:spacing w:val="-5"/>
          <w:sz w:val="24"/>
        </w:rPr>
        <w:t> </w:t>
      </w:r>
      <w:r>
        <w:rPr>
          <w:sz w:val="24"/>
        </w:rPr>
        <w:t>Fuerteventura</w:t>
      </w:r>
      <w:r>
        <w:rPr>
          <w:spacing w:val="-5"/>
          <w:sz w:val="24"/>
        </w:rPr>
        <w:t> </w:t>
      </w:r>
      <w:r>
        <w:rPr>
          <w:sz w:val="24"/>
        </w:rPr>
        <w:t>y</w:t>
      </w:r>
      <w:r>
        <w:rPr>
          <w:spacing w:val="-4"/>
          <w:sz w:val="24"/>
        </w:rPr>
        <w:t> </w:t>
      </w:r>
      <w:r>
        <w:rPr>
          <w:sz w:val="24"/>
        </w:rPr>
        <w:t>La</w:t>
      </w:r>
      <w:r>
        <w:rPr>
          <w:spacing w:val="-5"/>
          <w:sz w:val="24"/>
        </w:rPr>
        <w:t> </w:t>
      </w:r>
      <w:r>
        <w:rPr>
          <w:sz w:val="24"/>
        </w:rPr>
        <w:t>Graciosa</w:t>
      </w:r>
      <w:r>
        <w:rPr>
          <w:spacing w:val="-5"/>
          <w:sz w:val="24"/>
        </w:rPr>
        <w:t> </w:t>
      </w:r>
      <w:r>
        <w:rPr>
          <w:sz w:val="24"/>
        </w:rPr>
        <w:t>D.</w:t>
      </w:r>
      <w:r>
        <w:rPr>
          <w:spacing w:val="-5"/>
          <w:sz w:val="24"/>
        </w:rPr>
        <w:t> </w:t>
      </w:r>
      <w:r>
        <w:rPr>
          <w:sz w:val="24"/>
        </w:rPr>
        <w:t>Giovanni</w:t>
      </w:r>
      <w:r>
        <w:rPr>
          <w:spacing w:val="14"/>
          <w:sz w:val="24"/>
        </w:rPr>
        <w:t> </w:t>
      </w:r>
      <w:r>
        <w:rPr>
          <w:sz w:val="24"/>
        </w:rPr>
        <w:t>Lemes </w:t>
      </w:r>
      <w:r>
        <w:rPr>
          <w:spacing w:val="-2"/>
          <w:sz w:val="24"/>
        </w:rPr>
        <w:t>Pacheco</w:t>
      </w:r>
    </w:p>
    <w:p>
      <w:pPr>
        <w:pStyle w:val="ListParagraph"/>
        <w:spacing w:after="0" w:line="345" w:lineRule="auto"/>
        <w:jc w:val="left"/>
        <w:rPr>
          <w:sz w:val="24"/>
        </w:rPr>
        <w:sectPr>
          <w:pgSz w:w="11900" w:h="16840"/>
          <w:pgMar w:header="0" w:footer="468" w:top="1360" w:bottom="660" w:left="1275" w:right="283"/>
        </w:sectPr>
      </w:pPr>
    </w:p>
    <w:p>
      <w:pPr>
        <w:pStyle w:val="Heading1"/>
        <w:spacing w:before="76"/>
        <w:jc w:val="both"/>
        <w:rPr>
          <w:b w:val="0"/>
        </w:rPr>
      </w:pPr>
      <w:bookmarkStart w:name="_TOC_250014" w:id="5"/>
      <w:r>
        <w:rPr>
          <w:b w:val="0"/>
        </w:rPr>
        <w:t>SESIONES</w:t>
      </w:r>
      <w:r>
        <w:rPr>
          <w:b w:val="0"/>
          <w:spacing w:val="-25"/>
        </w:rPr>
        <w:t> </w:t>
      </w:r>
      <w:bookmarkEnd w:id="5"/>
      <w:r>
        <w:rPr>
          <w:b w:val="0"/>
          <w:spacing w:val="-2"/>
        </w:rPr>
        <w:t>CELEBRADAS</w:t>
      </w:r>
    </w:p>
    <w:p>
      <w:pPr>
        <w:pStyle w:val="BodyText"/>
        <w:spacing w:before="356"/>
        <w:ind w:left="328"/>
        <w:jc w:val="both"/>
      </w:pPr>
      <w:r>
        <w:rPr/>
        <w:t>Se</w:t>
      </w:r>
      <w:r>
        <w:rPr>
          <w:spacing w:val="-5"/>
        </w:rPr>
        <w:t> </w:t>
      </w:r>
      <w:r>
        <w:rPr/>
        <w:t>han</w:t>
      </w:r>
      <w:r>
        <w:rPr>
          <w:spacing w:val="-4"/>
        </w:rPr>
        <w:t> </w:t>
      </w:r>
      <w:r>
        <w:rPr/>
        <w:t>celebrado</w:t>
      </w:r>
      <w:r>
        <w:rPr>
          <w:spacing w:val="-7"/>
        </w:rPr>
        <w:t> </w:t>
      </w:r>
      <w:r>
        <w:rPr/>
        <w:t>durante</w:t>
      </w:r>
      <w:r>
        <w:rPr>
          <w:spacing w:val="-5"/>
        </w:rPr>
        <w:t> </w:t>
      </w:r>
      <w:r>
        <w:rPr/>
        <w:t>el</w:t>
      </w:r>
      <w:r>
        <w:rPr>
          <w:spacing w:val="-7"/>
        </w:rPr>
        <w:t> </w:t>
      </w:r>
      <w:r>
        <w:rPr/>
        <w:t>año</w:t>
      </w:r>
      <w:r>
        <w:rPr>
          <w:spacing w:val="-7"/>
        </w:rPr>
        <w:t> </w:t>
      </w:r>
      <w:r>
        <w:rPr/>
        <w:t>2025,</w:t>
      </w:r>
      <w:r>
        <w:rPr>
          <w:spacing w:val="-8"/>
        </w:rPr>
        <w:t> </w:t>
      </w:r>
      <w:r>
        <w:rPr/>
        <w:t>las</w:t>
      </w:r>
      <w:r>
        <w:rPr>
          <w:spacing w:val="-28"/>
        </w:rPr>
        <w:t> </w:t>
      </w:r>
      <w:r>
        <w:rPr/>
        <w:t>siguientes</w:t>
      </w:r>
      <w:r>
        <w:rPr>
          <w:spacing w:val="-6"/>
        </w:rPr>
        <w:t> </w:t>
      </w:r>
      <w:r>
        <w:rPr>
          <w:spacing w:val="-2"/>
        </w:rPr>
        <w:t>reuniones:</w:t>
      </w:r>
    </w:p>
    <w:p>
      <w:pPr>
        <w:pStyle w:val="ListParagraph"/>
        <w:numPr>
          <w:ilvl w:val="1"/>
          <w:numId w:val="1"/>
        </w:numPr>
        <w:tabs>
          <w:tab w:pos="1048" w:val="left" w:leader="none"/>
        </w:tabs>
        <w:spacing w:line="240" w:lineRule="auto" w:before="271" w:after="0"/>
        <w:ind w:left="1048" w:right="0" w:hanging="360"/>
        <w:jc w:val="left"/>
        <w:rPr>
          <w:sz w:val="24"/>
        </w:rPr>
      </w:pPr>
      <w:r>
        <w:rPr>
          <w:sz w:val="24"/>
        </w:rPr>
        <w:t>9</w:t>
      </w:r>
      <w:r>
        <w:rPr>
          <w:spacing w:val="-2"/>
          <w:sz w:val="24"/>
        </w:rPr>
        <w:t> </w:t>
      </w:r>
      <w:r>
        <w:rPr>
          <w:sz w:val="24"/>
        </w:rPr>
        <w:t>de</w:t>
      </w:r>
      <w:r>
        <w:rPr>
          <w:spacing w:val="-2"/>
          <w:sz w:val="24"/>
        </w:rPr>
        <w:t> </w:t>
      </w:r>
      <w:r>
        <w:rPr>
          <w:sz w:val="24"/>
        </w:rPr>
        <w:t>febrero.</w:t>
      </w:r>
      <w:r>
        <w:rPr>
          <w:spacing w:val="-3"/>
          <w:sz w:val="24"/>
        </w:rPr>
        <w:t> </w:t>
      </w:r>
      <w:r>
        <w:rPr>
          <w:sz w:val="24"/>
        </w:rPr>
        <w:t>Junta</w:t>
      </w:r>
      <w:r>
        <w:rPr>
          <w:spacing w:val="-2"/>
          <w:sz w:val="24"/>
        </w:rPr>
        <w:t> Directiva.</w:t>
      </w:r>
    </w:p>
    <w:p>
      <w:pPr>
        <w:pStyle w:val="BodyText"/>
        <w:spacing w:before="10"/>
      </w:pPr>
    </w:p>
    <w:p>
      <w:pPr>
        <w:pStyle w:val="ListParagraph"/>
        <w:numPr>
          <w:ilvl w:val="1"/>
          <w:numId w:val="1"/>
        </w:numPr>
        <w:tabs>
          <w:tab w:pos="1048" w:val="left" w:leader="none"/>
        </w:tabs>
        <w:spacing w:line="240" w:lineRule="auto" w:before="0" w:after="0"/>
        <w:ind w:left="1048" w:right="0" w:hanging="360"/>
        <w:jc w:val="left"/>
        <w:rPr>
          <w:sz w:val="24"/>
        </w:rPr>
      </w:pPr>
      <w:r>
        <w:rPr>
          <w:sz w:val="24"/>
        </w:rPr>
        <w:t>21</w:t>
      </w:r>
      <w:r>
        <w:rPr>
          <w:spacing w:val="-3"/>
          <w:sz w:val="24"/>
        </w:rPr>
        <w:t> </w:t>
      </w:r>
      <w:r>
        <w:rPr>
          <w:sz w:val="24"/>
        </w:rPr>
        <w:t>de</w:t>
      </w:r>
      <w:r>
        <w:rPr>
          <w:spacing w:val="-3"/>
          <w:sz w:val="24"/>
        </w:rPr>
        <w:t> </w:t>
      </w:r>
      <w:r>
        <w:rPr>
          <w:sz w:val="24"/>
        </w:rPr>
        <w:t>febrero.</w:t>
      </w:r>
      <w:r>
        <w:rPr>
          <w:spacing w:val="-3"/>
          <w:sz w:val="24"/>
        </w:rPr>
        <w:t> </w:t>
      </w:r>
      <w:r>
        <w:rPr>
          <w:sz w:val="24"/>
        </w:rPr>
        <w:t>Junta</w:t>
      </w:r>
      <w:r>
        <w:rPr>
          <w:spacing w:val="-4"/>
          <w:sz w:val="24"/>
        </w:rPr>
        <w:t> </w:t>
      </w:r>
      <w:r>
        <w:rPr>
          <w:sz w:val="24"/>
        </w:rPr>
        <w:t>General</w:t>
      </w:r>
      <w:r>
        <w:rPr>
          <w:spacing w:val="-3"/>
          <w:sz w:val="24"/>
        </w:rPr>
        <w:t> </w:t>
      </w:r>
      <w:r>
        <w:rPr>
          <w:spacing w:val="-2"/>
          <w:sz w:val="24"/>
        </w:rPr>
        <w:t>Ordinaria.</w:t>
      </w:r>
    </w:p>
    <w:p>
      <w:pPr>
        <w:pStyle w:val="BodyText"/>
        <w:spacing w:before="11"/>
      </w:pPr>
    </w:p>
    <w:p>
      <w:pPr>
        <w:pStyle w:val="ListParagraph"/>
        <w:numPr>
          <w:ilvl w:val="1"/>
          <w:numId w:val="1"/>
        </w:numPr>
        <w:tabs>
          <w:tab w:pos="1048" w:val="left" w:leader="none"/>
        </w:tabs>
        <w:spacing w:line="240" w:lineRule="auto" w:before="0" w:after="0"/>
        <w:ind w:left="1048" w:right="0" w:hanging="360"/>
        <w:jc w:val="left"/>
        <w:rPr>
          <w:sz w:val="24"/>
        </w:rPr>
      </w:pPr>
      <w:r>
        <w:rPr>
          <w:sz w:val="24"/>
        </w:rPr>
        <w:t>12</w:t>
      </w:r>
      <w:r>
        <w:rPr>
          <w:spacing w:val="-1"/>
          <w:sz w:val="24"/>
        </w:rPr>
        <w:t> </w:t>
      </w:r>
      <w:r>
        <w:rPr>
          <w:sz w:val="24"/>
        </w:rPr>
        <w:t>de septiembre.</w:t>
      </w:r>
      <w:r>
        <w:rPr>
          <w:spacing w:val="-2"/>
          <w:sz w:val="24"/>
        </w:rPr>
        <w:t> </w:t>
      </w:r>
      <w:r>
        <w:rPr>
          <w:sz w:val="24"/>
        </w:rPr>
        <w:t>Junta</w:t>
      </w:r>
      <w:r>
        <w:rPr>
          <w:spacing w:val="-1"/>
          <w:sz w:val="24"/>
        </w:rPr>
        <w:t> </w:t>
      </w:r>
      <w:r>
        <w:rPr>
          <w:spacing w:val="-2"/>
          <w:sz w:val="24"/>
        </w:rPr>
        <w:t>Directiva.</w:t>
      </w:r>
    </w:p>
    <w:p>
      <w:pPr>
        <w:pStyle w:val="BodyText"/>
        <w:spacing w:before="1"/>
      </w:pPr>
    </w:p>
    <w:p>
      <w:pPr>
        <w:pStyle w:val="ListParagraph"/>
        <w:numPr>
          <w:ilvl w:val="1"/>
          <w:numId w:val="1"/>
        </w:numPr>
        <w:tabs>
          <w:tab w:pos="1048" w:val="left" w:leader="none"/>
        </w:tabs>
        <w:spacing w:line="240" w:lineRule="auto" w:before="1" w:after="0"/>
        <w:ind w:left="1048" w:right="0" w:hanging="360"/>
        <w:jc w:val="left"/>
        <w:rPr>
          <w:sz w:val="24"/>
        </w:rPr>
      </w:pPr>
      <w:r>
        <w:rPr>
          <w:sz w:val="24"/>
        </w:rPr>
        <w:t>2</w:t>
      </w:r>
      <w:r>
        <w:rPr>
          <w:spacing w:val="-2"/>
          <w:sz w:val="24"/>
        </w:rPr>
        <w:t> </w:t>
      </w:r>
      <w:r>
        <w:rPr>
          <w:sz w:val="24"/>
        </w:rPr>
        <w:t>y</w:t>
      </w:r>
      <w:r>
        <w:rPr>
          <w:spacing w:val="-1"/>
          <w:sz w:val="24"/>
        </w:rPr>
        <w:t> </w:t>
      </w:r>
      <w:r>
        <w:rPr>
          <w:sz w:val="24"/>
        </w:rPr>
        <w:t>3</w:t>
      </w:r>
      <w:r>
        <w:rPr>
          <w:spacing w:val="-1"/>
          <w:sz w:val="24"/>
        </w:rPr>
        <w:t> </w:t>
      </w:r>
      <w:r>
        <w:rPr>
          <w:sz w:val="24"/>
        </w:rPr>
        <w:t>de</w:t>
      </w:r>
      <w:r>
        <w:rPr>
          <w:spacing w:val="-1"/>
          <w:sz w:val="24"/>
        </w:rPr>
        <w:t> </w:t>
      </w:r>
      <w:r>
        <w:rPr>
          <w:sz w:val="24"/>
        </w:rPr>
        <w:t>octubre.</w:t>
      </w:r>
      <w:r>
        <w:rPr>
          <w:spacing w:val="-2"/>
          <w:sz w:val="24"/>
        </w:rPr>
        <w:t> </w:t>
      </w:r>
      <w:r>
        <w:rPr>
          <w:sz w:val="24"/>
        </w:rPr>
        <w:t>Junta</w:t>
      </w:r>
      <w:r>
        <w:rPr>
          <w:spacing w:val="-2"/>
          <w:sz w:val="24"/>
        </w:rPr>
        <w:t> Directiva.</w:t>
      </w:r>
    </w:p>
    <w:p>
      <w:pPr>
        <w:pStyle w:val="BodyText"/>
        <w:spacing w:before="6"/>
      </w:pPr>
    </w:p>
    <w:p>
      <w:pPr>
        <w:pStyle w:val="ListParagraph"/>
        <w:numPr>
          <w:ilvl w:val="1"/>
          <w:numId w:val="1"/>
        </w:numPr>
        <w:tabs>
          <w:tab w:pos="1048" w:val="left" w:leader="none"/>
        </w:tabs>
        <w:spacing w:line="240" w:lineRule="auto" w:before="0" w:after="0"/>
        <w:ind w:left="1048" w:right="0" w:hanging="360"/>
        <w:jc w:val="left"/>
        <w:rPr>
          <w:sz w:val="24"/>
        </w:rPr>
      </w:pPr>
      <w:r>
        <w:rPr>
          <w:sz w:val="24"/>
        </w:rPr>
        <w:t>20</w:t>
      </w:r>
      <w:r>
        <w:rPr>
          <w:spacing w:val="-3"/>
          <w:sz w:val="24"/>
        </w:rPr>
        <w:t> </w:t>
      </w:r>
      <w:r>
        <w:rPr>
          <w:sz w:val="24"/>
        </w:rPr>
        <w:t>de</w:t>
      </w:r>
      <w:r>
        <w:rPr>
          <w:spacing w:val="-3"/>
          <w:sz w:val="24"/>
        </w:rPr>
        <w:t> </w:t>
      </w:r>
      <w:r>
        <w:rPr>
          <w:sz w:val="24"/>
        </w:rPr>
        <w:t>octubre.</w:t>
      </w:r>
      <w:r>
        <w:rPr>
          <w:spacing w:val="-3"/>
          <w:sz w:val="24"/>
        </w:rPr>
        <w:t> </w:t>
      </w:r>
      <w:r>
        <w:rPr>
          <w:sz w:val="24"/>
        </w:rPr>
        <w:t>Junta</w:t>
      </w:r>
      <w:r>
        <w:rPr>
          <w:spacing w:val="-4"/>
          <w:sz w:val="24"/>
        </w:rPr>
        <w:t> </w:t>
      </w:r>
      <w:r>
        <w:rPr>
          <w:sz w:val="24"/>
        </w:rPr>
        <w:t>General</w:t>
      </w:r>
      <w:r>
        <w:rPr>
          <w:spacing w:val="-3"/>
          <w:sz w:val="24"/>
        </w:rPr>
        <w:t> </w:t>
      </w:r>
      <w:r>
        <w:rPr>
          <w:spacing w:val="-2"/>
          <w:sz w:val="24"/>
        </w:rPr>
        <w:t>Ordinaria.</w:t>
      </w:r>
    </w:p>
    <w:p>
      <w:pPr>
        <w:pStyle w:val="BodyText"/>
        <w:spacing w:line="360" w:lineRule="auto" w:before="264"/>
        <w:ind w:left="328" w:right="1374"/>
        <w:jc w:val="both"/>
      </w:pPr>
      <w:r>
        <w:rPr/>
        <w:t>Se</w:t>
      </w:r>
      <w:r>
        <w:rPr>
          <w:spacing w:val="-9"/>
        </w:rPr>
        <w:t> </w:t>
      </w:r>
      <w:r>
        <w:rPr/>
        <w:t>han</w:t>
      </w:r>
      <w:r>
        <w:rPr>
          <w:spacing w:val="-11"/>
        </w:rPr>
        <w:t> </w:t>
      </w:r>
      <w:r>
        <w:rPr/>
        <w:t>realizado</w:t>
      </w:r>
      <w:r>
        <w:rPr>
          <w:spacing w:val="-12"/>
        </w:rPr>
        <w:t> </w:t>
      </w:r>
      <w:r>
        <w:rPr/>
        <w:t>diferentes</w:t>
      </w:r>
      <w:r>
        <w:rPr>
          <w:spacing w:val="-9"/>
        </w:rPr>
        <w:t> </w:t>
      </w:r>
      <w:r>
        <w:rPr/>
        <w:t>consultas</w:t>
      </w:r>
      <w:r>
        <w:rPr>
          <w:spacing w:val="-12"/>
        </w:rPr>
        <w:t> </w:t>
      </w:r>
      <w:r>
        <w:rPr/>
        <w:t>de</w:t>
      </w:r>
      <w:r>
        <w:rPr>
          <w:spacing w:val="-12"/>
        </w:rPr>
        <w:t> </w:t>
      </w:r>
      <w:r>
        <w:rPr/>
        <w:t>la</w:t>
      </w:r>
      <w:r>
        <w:rPr>
          <w:spacing w:val="-12"/>
        </w:rPr>
        <w:t> </w:t>
      </w:r>
      <w:r>
        <w:rPr/>
        <w:t>Comisión</w:t>
      </w:r>
      <w:r>
        <w:rPr>
          <w:spacing w:val="-11"/>
        </w:rPr>
        <w:t> </w:t>
      </w:r>
      <w:r>
        <w:rPr/>
        <w:t>Permanente,</w:t>
      </w:r>
      <w:r>
        <w:rPr>
          <w:spacing w:val="-13"/>
        </w:rPr>
        <w:t> </w:t>
      </w:r>
      <w:r>
        <w:rPr/>
        <w:t>por</w:t>
      </w:r>
      <w:r>
        <w:rPr>
          <w:spacing w:val="-9"/>
        </w:rPr>
        <w:t> </w:t>
      </w:r>
      <w:r>
        <w:rPr/>
        <w:t>correo</w:t>
      </w:r>
      <w:r>
        <w:rPr>
          <w:spacing w:val="-8"/>
        </w:rPr>
        <w:t> </w:t>
      </w:r>
      <w:r>
        <w:rPr/>
        <w:t>electrónico, a todos los miembros de la Junta de Gobierno, sobre los asuntos finalmente llevados</w:t>
      </w:r>
      <w:r>
        <w:rPr>
          <w:spacing w:val="40"/>
        </w:rPr>
        <w:t> </w:t>
      </w:r>
      <w:r>
        <w:rPr/>
        <w:t>en el orden del día de las Junta Generales</w:t>
      </w:r>
      <w:r>
        <w:rPr>
          <w:spacing w:val="-8"/>
        </w:rPr>
        <w:t> </w:t>
      </w:r>
      <w:r>
        <w:rPr/>
        <w:t>Ordinarias.</w:t>
      </w:r>
    </w:p>
    <w:p>
      <w:pPr>
        <w:pStyle w:val="BodyText"/>
      </w:pPr>
    </w:p>
    <w:p>
      <w:pPr>
        <w:pStyle w:val="BodyText"/>
        <w:spacing w:before="93"/>
      </w:pPr>
    </w:p>
    <w:p>
      <w:pPr>
        <w:pStyle w:val="Heading3"/>
      </w:pPr>
      <w:bookmarkStart w:name="_TOC_250013" w:id="6"/>
      <w:r>
        <w:rPr/>
        <w:t>Pleno</w:t>
      </w:r>
      <w:r>
        <w:rPr>
          <w:spacing w:val="-9"/>
        </w:rPr>
        <w:t> </w:t>
      </w:r>
      <w:r>
        <w:rPr/>
        <w:t>del</w:t>
      </w:r>
      <w:r>
        <w:rPr>
          <w:spacing w:val="-5"/>
        </w:rPr>
        <w:t> </w:t>
      </w:r>
      <w:r>
        <w:rPr/>
        <w:t>Consejo</w:t>
      </w:r>
      <w:r>
        <w:rPr>
          <w:spacing w:val="-18"/>
        </w:rPr>
        <w:t> </w:t>
      </w:r>
      <w:bookmarkEnd w:id="6"/>
      <w:r>
        <w:rPr>
          <w:spacing w:val="-2"/>
        </w:rPr>
        <w:t>General.</w:t>
      </w:r>
    </w:p>
    <w:p>
      <w:pPr>
        <w:pStyle w:val="ListParagraph"/>
        <w:numPr>
          <w:ilvl w:val="0"/>
          <w:numId w:val="1"/>
        </w:numPr>
        <w:tabs>
          <w:tab w:pos="947" w:val="left" w:leader="none"/>
        </w:tabs>
        <w:spacing w:line="240" w:lineRule="auto" w:before="328" w:after="0"/>
        <w:ind w:left="947" w:right="0" w:hanging="360"/>
        <w:jc w:val="left"/>
        <w:rPr>
          <w:sz w:val="24"/>
        </w:rPr>
      </w:pPr>
      <w:r>
        <w:rPr>
          <w:b/>
          <w:sz w:val="24"/>
        </w:rPr>
        <w:t>28</w:t>
      </w:r>
      <w:r>
        <w:rPr>
          <w:b/>
          <w:spacing w:val="-3"/>
          <w:sz w:val="24"/>
        </w:rPr>
        <w:t> </w:t>
      </w:r>
      <w:r>
        <w:rPr>
          <w:b/>
          <w:sz w:val="24"/>
        </w:rPr>
        <w:t>de</w:t>
      </w:r>
      <w:r>
        <w:rPr>
          <w:b/>
          <w:spacing w:val="-3"/>
          <w:sz w:val="24"/>
        </w:rPr>
        <w:t> </w:t>
      </w:r>
      <w:r>
        <w:rPr>
          <w:b/>
          <w:sz w:val="24"/>
        </w:rPr>
        <w:t>marzo</w:t>
      </w:r>
      <w:r>
        <w:rPr>
          <w:b/>
          <w:spacing w:val="-2"/>
          <w:sz w:val="24"/>
        </w:rPr>
        <w:t> </w:t>
      </w:r>
      <w:r>
        <w:rPr>
          <w:sz w:val="24"/>
        </w:rPr>
        <w:t>–</w:t>
      </w:r>
      <w:r>
        <w:rPr>
          <w:spacing w:val="-3"/>
          <w:sz w:val="24"/>
        </w:rPr>
        <w:t> </w:t>
      </w:r>
      <w:r>
        <w:rPr>
          <w:sz w:val="24"/>
        </w:rPr>
        <w:t>Pleno</w:t>
      </w:r>
      <w:r>
        <w:rPr>
          <w:spacing w:val="-3"/>
          <w:sz w:val="24"/>
        </w:rPr>
        <w:t> </w:t>
      </w:r>
      <w:r>
        <w:rPr>
          <w:sz w:val="24"/>
        </w:rPr>
        <w:t>del</w:t>
      </w:r>
      <w:r>
        <w:rPr>
          <w:spacing w:val="-3"/>
          <w:sz w:val="24"/>
        </w:rPr>
        <w:t> </w:t>
      </w:r>
      <w:r>
        <w:rPr>
          <w:sz w:val="24"/>
        </w:rPr>
        <w:t>Consejo</w:t>
      </w:r>
      <w:r>
        <w:rPr>
          <w:spacing w:val="-2"/>
          <w:sz w:val="24"/>
        </w:rPr>
        <w:t> General.</w:t>
      </w:r>
    </w:p>
    <w:p>
      <w:pPr>
        <w:pStyle w:val="ListParagraph"/>
        <w:numPr>
          <w:ilvl w:val="0"/>
          <w:numId w:val="1"/>
        </w:numPr>
        <w:tabs>
          <w:tab w:pos="947" w:val="left" w:leader="none"/>
        </w:tabs>
        <w:spacing w:line="240" w:lineRule="auto" w:before="10" w:after="0"/>
        <w:ind w:left="947" w:right="0" w:hanging="360"/>
        <w:jc w:val="left"/>
        <w:rPr>
          <w:sz w:val="24"/>
        </w:rPr>
      </w:pPr>
      <w:r>
        <w:rPr>
          <w:b/>
          <w:sz w:val="24"/>
        </w:rPr>
        <w:t>14</w:t>
      </w:r>
      <w:r>
        <w:rPr>
          <w:b/>
          <w:spacing w:val="-7"/>
          <w:sz w:val="24"/>
        </w:rPr>
        <w:t> </w:t>
      </w:r>
      <w:r>
        <w:rPr>
          <w:b/>
          <w:sz w:val="24"/>
        </w:rPr>
        <w:t>de</w:t>
      </w:r>
      <w:r>
        <w:rPr>
          <w:b/>
          <w:spacing w:val="-3"/>
          <w:sz w:val="24"/>
        </w:rPr>
        <w:t> </w:t>
      </w:r>
      <w:r>
        <w:rPr>
          <w:b/>
          <w:sz w:val="24"/>
        </w:rPr>
        <w:t>mayo</w:t>
      </w:r>
      <w:r>
        <w:rPr>
          <w:b/>
          <w:spacing w:val="-4"/>
          <w:sz w:val="24"/>
        </w:rPr>
        <w:t> </w:t>
      </w:r>
      <w:r>
        <w:rPr>
          <w:sz w:val="24"/>
        </w:rPr>
        <w:t>–</w:t>
      </w:r>
      <w:r>
        <w:rPr>
          <w:spacing w:val="-5"/>
          <w:sz w:val="24"/>
        </w:rPr>
        <w:t> </w:t>
      </w:r>
      <w:r>
        <w:rPr>
          <w:sz w:val="24"/>
        </w:rPr>
        <w:t>Pleno</w:t>
      </w:r>
      <w:r>
        <w:rPr>
          <w:spacing w:val="-4"/>
          <w:sz w:val="24"/>
        </w:rPr>
        <w:t> </w:t>
      </w:r>
      <w:r>
        <w:rPr>
          <w:sz w:val="24"/>
        </w:rPr>
        <w:t>Extraordinario</w:t>
      </w:r>
      <w:r>
        <w:rPr>
          <w:spacing w:val="-4"/>
          <w:sz w:val="24"/>
        </w:rPr>
        <w:t> </w:t>
      </w:r>
      <w:r>
        <w:rPr>
          <w:sz w:val="24"/>
        </w:rPr>
        <w:t>del</w:t>
      </w:r>
      <w:r>
        <w:rPr>
          <w:spacing w:val="-4"/>
          <w:sz w:val="24"/>
        </w:rPr>
        <w:t> </w:t>
      </w:r>
      <w:r>
        <w:rPr>
          <w:sz w:val="24"/>
        </w:rPr>
        <w:t>Consejo</w:t>
      </w:r>
      <w:r>
        <w:rPr>
          <w:spacing w:val="-4"/>
          <w:sz w:val="24"/>
        </w:rPr>
        <w:t> </w:t>
      </w:r>
      <w:r>
        <w:rPr>
          <w:spacing w:val="-2"/>
          <w:sz w:val="24"/>
        </w:rPr>
        <w:t>General.</w:t>
      </w:r>
    </w:p>
    <w:p>
      <w:pPr>
        <w:pStyle w:val="ListParagraph"/>
        <w:numPr>
          <w:ilvl w:val="0"/>
          <w:numId w:val="1"/>
        </w:numPr>
        <w:tabs>
          <w:tab w:pos="947" w:val="left" w:leader="none"/>
        </w:tabs>
        <w:spacing w:line="240" w:lineRule="auto" w:before="9" w:after="0"/>
        <w:ind w:left="947" w:right="0" w:hanging="360"/>
        <w:jc w:val="left"/>
        <w:rPr>
          <w:sz w:val="24"/>
        </w:rPr>
      </w:pPr>
      <w:r>
        <w:rPr>
          <w:b/>
          <w:sz w:val="24"/>
        </w:rPr>
        <w:t>30</w:t>
      </w:r>
      <w:r>
        <w:rPr>
          <w:b/>
          <w:spacing w:val="-6"/>
          <w:sz w:val="24"/>
        </w:rPr>
        <w:t> </w:t>
      </w:r>
      <w:r>
        <w:rPr>
          <w:b/>
          <w:sz w:val="24"/>
        </w:rPr>
        <w:t>de</w:t>
      </w:r>
      <w:r>
        <w:rPr>
          <w:b/>
          <w:spacing w:val="-3"/>
          <w:sz w:val="24"/>
        </w:rPr>
        <w:t> </w:t>
      </w:r>
      <w:r>
        <w:rPr>
          <w:b/>
          <w:sz w:val="24"/>
        </w:rPr>
        <w:t>mayo</w:t>
      </w:r>
      <w:r>
        <w:rPr>
          <w:b/>
          <w:spacing w:val="-3"/>
          <w:sz w:val="24"/>
        </w:rPr>
        <w:t> </w:t>
      </w:r>
      <w:r>
        <w:rPr>
          <w:sz w:val="24"/>
        </w:rPr>
        <w:t>–</w:t>
      </w:r>
      <w:r>
        <w:rPr>
          <w:spacing w:val="-4"/>
          <w:sz w:val="24"/>
        </w:rPr>
        <w:t> </w:t>
      </w:r>
      <w:r>
        <w:rPr>
          <w:sz w:val="24"/>
        </w:rPr>
        <w:t>Pleno</w:t>
      </w:r>
      <w:r>
        <w:rPr>
          <w:spacing w:val="-4"/>
          <w:sz w:val="24"/>
        </w:rPr>
        <w:t> </w:t>
      </w:r>
      <w:r>
        <w:rPr>
          <w:sz w:val="24"/>
        </w:rPr>
        <w:t>Ordinario</w:t>
      </w:r>
      <w:r>
        <w:rPr>
          <w:spacing w:val="-3"/>
          <w:sz w:val="24"/>
        </w:rPr>
        <w:t> </w:t>
      </w:r>
      <w:r>
        <w:rPr>
          <w:sz w:val="24"/>
        </w:rPr>
        <w:t>del</w:t>
      </w:r>
      <w:r>
        <w:rPr>
          <w:spacing w:val="-4"/>
          <w:sz w:val="24"/>
        </w:rPr>
        <w:t> </w:t>
      </w:r>
      <w:r>
        <w:rPr>
          <w:sz w:val="24"/>
        </w:rPr>
        <w:t>Consejo</w:t>
      </w:r>
      <w:r>
        <w:rPr>
          <w:spacing w:val="-3"/>
          <w:sz w:val="24"/>
        </w:rPr>
        <w:t> </w:t>
      </w:r>
      <w:r>
        <w:rPr>
          <w:spacing w:val="-2"/>
          <w:sz w:val="24"/>
        </w:rPr>
        <w:t>General.</w:t>
      </w:r>
    </w:p>
    <w:p>
      <w:pPr>
        <w:pStyle w:val="ListParagraph"/>
        <w:numPr>
          <w:ilvl w:val="0"/>
          <w:numId w:val="1"/>
        </w:numPr>
        <w:tabs>
          <w:tab w:pos="947" w:val="left" w:leader="none"/>
        </w:tabs>
        <w:spacing w:line="240" w:lineRule="auto" w:before="15" w:after="0"/>
        <w:ind w:left="947" w:right="0" w:hanging="360"/>
        <w:jc w:val="left"/>
        <w:rPr>
          <w:sz w:val="24"/>
        </w:rPr>
      </w:pPr>
      <w:r>
        <w:rPr>
          <w:b/>
          <w:sz w:val="24"/>
        </w:rPr>
        <w:t>16</w:t>
      </w:r>
      <w:r>
        <w:rPr>
          <w:b/>
          <w:spacing w:val="-7"/>
          <w:sz w:val="24"/>
        </w:rPr>
        <w:t> </w:t>
      </w:r>
      <w:r>
        <w:rPr>
          <w:b/>
          <w:sz w:val="24"/>
        </w:rPr>
        <w:t>de</w:t>
      </w:r>
      <w:r>
        <w:rPr>
          <w:b/>
          <w:spacing w:val="-3"/>
          <w:sz w:val="24"/>
        </w:rPr>
        <w:t> </w:t>
      </w:r>
      <w:r>
        <w:rPr>
          <w:b/>
          <w:sz w:val="24"/>
        </w:rPr>
        <w:t>junio</w:t>
      </w:r>
      <w:r>
        <w:rPr>
          <w:b/>
          <w:spacing w:val="-3"/>
          <w:sz w:val="24"/>
        </w:rPr>
        <w:t> </w:t>
      </w:r>
      <w:r>
        <w:rPr>
          <w:sz w:val="24"/>
        </w:rPr>
        <w:t>–</w:t>
      </w:r>
      <w:r>
        <w:rPr>
          <w:spacing w:val="-5"/>
          <w:sz w:val="24"/>
        </w:rPr>
        <w:t> </w:t>
      </w:r>
      <w:r>
        <w:rPr>
          <w:sz w:val="24"/>
        </w:rPr>
        <w:t>Pleno</w:t>
      </w:r>
      <w:r>
        <w:rPr>
          <w:spacing w:val="-4"/>
          <w:sz w:val="24"/>
        </w:rPr>
        <w:t> </w:t>
      </w:r>
      <w:r>
        <w:rPr>
          <w:sz w:val="24"/>
        </w:rPr>
        <w:t>Extraordinario</w:t>
      </w:r>
      <w:r>
        <w:rPr>
          <w:spacing w:val="-4"/>
          <w:sz w:val="24"/>
        </w:rPr>
        <w:t> </w:t>
      </w:r>
      <w:r>
        <w:rPr>
          <w:sz w:val="24"/>
        </w:rPr>
        <w:t>del</w:t>
      </w:r>
      <w:r>
        <w:rPr>
          <w:spacing w:val="-4"/>
          <w:sz w:val="24"/>
        </w:rPr>
        <w:t> </w:t>
      </w:r>
      <w:r>
        <w:rPr>
          <w:sz w:val="24"/>
        </w:rPr>
        <w:t>Consejo</w:t>
      </w:r>
      <w:r>
        <w:rPr>
          <w:spacing w:val="-4"/>
          <w:sz w:val="24"/>
        </w:rPr>
        <w:t> </w:t>
      </w:r>
      <w:r>
        <w:rPr>
          <w:spacing w:val="-2"/>
          <w:sz w:val="24"/>
        </w:rPr>
        <w:t>General.</w:t>
      </w:r>
    </w:p>
    <w:p>
      <w:pPr>
        <w:pStyle w:val="ListParagraph"/>
        <w:numPr>
          <w:ilvl w:val="0"/>
          <w:numId w:val="1"/>
        </w:numPr>
        <w:tabs>
          <w:tab w:pos="947" w:val="left" w:leader="none"/>
        </w:tabs>
        <w:spacing w:line="240" w:lineRule="auto" w:before="9" w:after="0"/>
        <w:ind w:left="947" w:right="0" w:hanging="360"/>
        <w:jc w:val="left"/>
        <w:rPr>
          <w:sz w:val="24"/>
        </w:rPr>
      </w:pPr>
      <w:r>
        <w:rPr>
          <w:b/>
          <w:sz w:val="24"/>
        </w:rPr>
        <w:t>3</w:t>
      </w:r>
      <w:r>
        <w:rPr>
          <w:b/>
          <w:spacing w:val="-4"/>
          <w:sz w:val="24"/>
        </w:rPr>
        <w:t> </w:t>
      </w:r>
      <w:r>
        <w:rPr>
          <w:b/>
          <w:sz w:val="24"/>
        </w:rPr>
        <w:t>de</w:t>
      </w:r>
      <w:r>
        <w:rPr>
          <w:b/>
          <w:spacing w:val="-3"/>
          <w:sz w:val="24"/>
        </w:rPr>
        <w:t> </w:t>
      </w:r>
      <w:r>
        <w:rPr>
          <w:b/>
          <w:sz w:val="24"/>
        </w:rPr>
        <w:t>octubre</w:t>
      </w:r>
      <w:r>
        <w:rPr>
          <w:b/>
          <w:spacing w:val="-3"/>
          <w:sz w:val="24"/>
        </w:rPr>
        <w:t> </w:t>
      </w:r>
      <w:r>
        <w:rPr>
          <w:sz w:val="24"/>
        </w:rPr>
        <w:t>–</w:t>
      </w:r>
      <w:r>
        <w:rPr>
          <w:spacing w:val="-4"/>
          <w:sz w:val="24"/>
        </w:rPr>
        <w:t> </w:t>
      </w:r>
      <w:r>
        <w:rPr>
          <w:sz w:val="24"/>
        </w:rPr>
        <w:t>Pleno</w:t>
      </w:r>
      <w:r>
        <w:rPr>
          <w:spacing w:val="-4"/>
          <w:sz w:val="24"/>
        </w:rPr>
        <w:t> </w:t>
      </w:r>
      <w:r>
        <w:rPr>
          <w:sz w:val="24"/>
        </w:rPr>
        <w:t>Ordinario</w:t>
      </w:r>
      <w:r>
        <w:rPr>
          <w:spacing w:val="-4"/>
          <w:sz w:val="24"/>
        </w:rPr>
        <w:t> </w:t>
      </w:r>
      <w:r>
        <w:rPr>
          <w:sz w:val="24"/>
        </w:rPr>
        <w:t>del</w:t>
      </w:r>
      <w:r>
        <w:rPr>
          <w:spacing w:val="-4"/>
          <w:sz w:val="24"/>
        </w:rPr>
        <w:t> </w:t>
      </w:r>
      <w:r>
        <w:rPr>
          <w:sz w:val="24"/>
        </w:rPr>
        <w:t>Consejo</w:t>
      </w:r>
      <w:r>
        <w:rPr>
          <w:spacing w:val="-3"/>
          <w:sz w:val="24"/>
        </w:rPr>
        <w:t> </w:t>
      </w:r>
      <w:r>
        <w:rPr>
          <w:spacing w:val="-2"/>
          <w:sz w:val="24"/>
        </w:rPr>
        <w:t>General.</w:t>
      </w:r>
    </w:p>
    <w:p>
      <w:pPr>
        <w:pStyle w:val="ListParagraph"/>
        <w:numPr>
          <w:ilvl w:val="0"/>
          <w:numId w:val="1"/>
        </w:numPr>
        <w:tabs>
          <w:tab w:pos="947" w:val="left" w:leader="none"/>
        </w:tabs>
        <w:spacing w:line="240" w:lineRule="auto" w:before="9" w:after="0"/>
        <w:ind w:left="947" w:right="0" w:hanging="360"/>
        <w:jc w:val="left"/>
        <w:rPr>
          <w:sz w:val="24"/>
        </w:rPr>
      </w:pPr>
      <w:r>
        <w:rPr>
          <w:b/>
          <w:sz w:val="24"/>
        </w:rPr>
        <w:t>12</w:t>
      </w:r>
      <w:r>
        <w:rPr>
          <w:b/>
          <w:spacing w:val="-4"/>
          <w:sz w:val="24"/>
        </w:rPr>
        <w:t> </w:t>
      </w:r>
      <w:r>
        <w:rPr>
          <w:b/>
          <w:sz w:val="24"/>
        </w:rPr>
        <w:t>de</w:t>
      </w:r>
      <w:r>
        <w:rPr>
          <w:b/>
          <w:spacing w:val="-3"/>
          <w:sz w:val="24"/>
        </w:rPr>
        <w:t> </w:t>
      </w:r>
      <w:r>
        <w:rPr>
          <w:b/>
          <w:sz w:val="24"/>
        </w:rPr>
        <w:t>diciembre</w:t>
      </w:r>
      <w:r>
        <w:rPr>
          <w:b/>
          <w:spacing w:val="-3"/>
          <w:sz w:val="24"/>
        </w:rPr>
        <w:t> </w:t>
      </w:r>
      <w:r>
        <w:rPr>
          <w:sz w:val="24"/>
        </w:rPr>
        <w:t>–</w:t>
      </w:r>
      <w:r>
        <w:rPr>
          <w:spacing w:val="-4"/>
          <w:sz w:val="24"/>
        </w:rPr>
        <w:t> </w:t>
      </w:r>
      <w:r>
        <w:rPr>
          <w:sz w:val="24"/>
        </w:rPr>
        <w:t>Pleno</w:t>
      </w:r>
      <w:r>
        <w:rPr>
          <w:spacing w:val="-3"/>
          <w:sz w:val="24"/>
        </w:rPr>
        <w:t> </w:t>
      </w:r>
      <w:r>
        <w:rPr>
          <w:sz w:val="24"/>
        </w:rPr>
        <w:t>Ordinario</w:t>
      </w:r>
      <w:r>
        <w:rPr>
          <w:spacing w:val="-4"/>
          <w:sz w:val="24"/>
        </w:rPr>
        <w:t> </w:t>
      </w:r>
      <w:r>
        <w:rPr>
          <w:sz w:val="24"/>
        </w:rPr>
        <w:t>del</w:t>
      </w:r>
      <w:r>
        <w:rPr>
          <w:spacing w:val="-3"/>
          <w:sz w:val="24"/>
        </w:rPr>
        <w:t> </w:t>
      </w:r>
      <w:r>
        <w:rPr>
          <w:sz w:val="24"/>
        </w:rPr>
        <w:t>Consejo</w:t>
      </w:r>
      <w:r>
        <w:rPr>
          <w:spacing w:val="-3"/>
          <w:sz w:val="24"/>
        </w:rPr>
        <w:t> </w:t>
      </w:r>
      <w:r>
        <w:rPr>
          <w:spacing w:val="-2"/>
          <w:sz w:val="24"/>
        </w:rPr>
        <w:t>General.</w:t>
      </w:r>
    </w:p>
    <w:p>
      <w:pPr>
        <w:pStyle w:val="Heading3"/>
        <w:spacing w:before="265"/>
      </w:pPr>
      <w:bookmarkStart w:name="_TOC_250012" w:id="7"/>
      <w:r>
        <w:rPr/>
        <w:t>Reunión</w:t>
      </w:r>
      <w:r>
        <w:rPr>
          <w:spacing w:val="-12"/>
        </w:rPr>
        <w:t> </w:t>
      </w:r>
      <w:r>
        <w:rPr/>
        <w:t>Asociación</w:t>
      </w:r>
      <w:r>
        <w:rPr>
          <w:spacing w:val="-9"/>
        </w:rPr>
        <w:t> </w:t>
      </w:r>
      <w:r>
        <w:rPr/>
        <w:t>Colegios</w:t>
      </w:r>
      <w:r>
        <w:rPr>
          <w:spacing w:val="-9"/>
        </w:rPr>
        <w:t> </w:t>
      </w:r>
      <w:r>
        <w:rPr/>
        <w:t>Profesionales</w:t>
      </w:r>
      <w:r>
        <w:rPr>
          <w:spacing w:val="-9"/>
        </w:rPr>
        <w:t> </w:t>
      </w:r>
      <w:r>
        <w:rPr/>
        <w:t>de</w:t>
      </w:r>
      <w:r>
        <w:rPr>
          <w:spacing w:val="-9"/>
        </w:rPr>
        <w:t> </w:t>
      </w:r>
      <w:bookmarkEnd w:id="7"/>
      <w:r>
        <w:rPr>
          <w:spacing w:val="-2"/>
        </w:rPr>
        <w:t>Canarias</w:t>
      </w:r>
    </w:p>
    <w:p>
      <w:pPr>
        <w:pStyle w:val="ListParagraph"/>
        <w:numPr>
          <w:ilvl w:val="1"/>
          <w:numId w:val="1"/>
        </w:numPr>
        <w:tabs>
          <w:tab w:pos="1048" w:val="left" w:leader="none"/>
        </w:tabs>
        <w:spacing w:line="240" w:lineRule="auto" w:before="321" w:after="0"/>
        <w:ind w:left="1048" w:right="1496" w:hanging="361"/>
        <w:jc w:val="left"/>
        <w:rPr>
          <w:sz w:val="24"/>
        </w:rPr>
      </w:pPr>
      <w:r>
        <w:rPr>
          <w:sz w:val="24"/>
        </w:rPr>
        <w:t>2</w:t>
      </w:r>
      <w:r>
        <w:rPr>
          <w:spacing w:val="-3"/>
          <w:sz w:val="24"/>
        </w:rPr>
        <w:t> </w:t>
      </w:r>
      <w:r>
        <w:rPr>
          <w:sz w:val="24"/>
        </w:rPr>
        <w:t>de</w:t>
      </w:r>
      <w:r>
        <w:rPr>
          <w:spacing w:val="-3"/>
          <w:sz w:val="24"/>
        </w:rPr>
        <w:t> </w:t>
      </w:r>
      <w:r>
        <w:rPr>
          <w:sz w:val="24"/>
        </w:rPr>
        <w:t>octubre</w:t>
      </w:r>
      <w:r>
        <w:rPr>
          <w:spacing w:val="-3"/>
          <w:sz w:val="24"/>
        </w:rPr>
        <w:t> </w:t>
      </w:r>
      <w:r>
        <w:rPr>
          <w:sz w:val="24"/>
        </w:rPr>
        <w:t>-</w:t>
      </w:r>
      <w:r>
        <w:rPr>
          <w:spacing w:val="-4"/>
          <w:sz w:val="24"/>
        </w:rPr>
        <w:t> </w:t>
      </w:r>
      <w:r>
        <w:rPr>
          <w:sz w:val="24"/>
        </w:rPr>
        <w:t>Junta</w:t>
      </w:r>
      <w:r>
        <w:rPr>
          <w:spacing w:val="-4"/>
          <w:sz w:val="24"/>
        </w:rPr>
        <w:t> </w:t>
      </w:r>
      <w:r>
        <w:rPr>
          <w:sz w:val="24"/>
        </w:rPr>
        <w:t>General</w:t>
      </w:r>
      <w:r>
        <w:rPr>
          <w:spacing w:val="-4"/>
          <w:sz w:val="24"/>
        </w:rPr>
        <w:t> </w:t>
      </w:r>
      <w:r>
        <w:rPr>
          <w:sz w:val="24"/>
        </w:rPr>
        <w:t>(Incorporación</w:t>
      </w:r>
      <w:r>
        <w:rPr>
          <w:spacing w:val="-4"/>
          <w:sz w:val="24"/>
        </w:rPr>
        <w:t> </w:t>
      </w:r>
      <w:r>
        <w:rPr>
          <w:sz w:val="24"/>
        </w:rPr>
        <w:t>de</w:t>
      </w:r>
      <w:r>
        <w:rPr>
          <w:spacing w:val="-3"/>
          <w:sz w:val="24"/>
        </w:rPr>
        <w:t> </w:t>
      </w:r>
      <w:r>
        <w:rPr>
          <w:sz w:val="24"/>
        </w:rPr>
        <w:t>nuestra</w:t>
      </w:r>
      <w:r>
        <w:rPr>
          <w:spacing w:val="-4"/>
          <w:sz w:val="24"/>
        </w:rPr>
        <w:t> </w:t>
      </w:r>
      <w:r>
        <w:rPr>
          <w:sz w:val="24"/>
        </w:rPr>
        <w:t>decana</w:t>
      </w:r>
      <w:r>
        <w:rPr>
          <w:spacing w:val="-4"/>
          <w:sz w:val="24"/>
        </w:rPr>
        <w:t> </w:t>
      </w:r>
      <w:r>
        <w:rPr>
          <w:sz w:val="24"/>
        </w:rPr>
        <w:t>como</w:t>
      </w:r>
      <w:r>
        <w:rPr>
          <w:spacing w:val="-4"/>
          <w:sz w:val="24"/>
        </w:rPr>
        <w:t> </w:t>
      </w:r>
      <w:r>
        <w:rPr>
          <w:sz w:val="24"/>
        </w:rPr>
        <w:t>vocal</w:t>
      </w:r>
      <w:r>
        <w:rPr>
          <w:spacing w:val="-4"/>
          <w:sz w:val="24"/>
        </w:rPr>
        <w:t> </w:t>
      </w:r>
      <w:r>
        <w:rPr>
          <w:sz w:val="24"/>
        </w:rPr>
        <w:t>de</w:t>
      </w:r>
      <w:r>
        <w:rPr>
          <w:spacing w:val="-3"/>
          <w:sz w:val="24"/>
        </w:rPr>
        <w:t> </w:t>
      </w:r>
      <w:r>
        <w:rPr>
          <w:sz w:val="24"/>
        </w:rPr>
        <w:t>la Junta Directiva).</w:t>
      </w:r>
    </w:p>
    <w:p>
      <w:pPr>
        <w:pStyle w:val="ListParagraph"/>
        <w:spacing w:after="0" w:line="240" w:lineRule="auto"/>
        <w:jc w:val="left"/>
        <w:rPr>
          <w:sz w:val="24"/>
        </w:rPr>
        <w:sectPr>
          <w:pgSz w:w="11900" w:h="16840"/>
          <w:pgMar w:header="0" w:footer="468" w:top="1380" w:bottom="660" w:left="1275" w:right="283"/>
        </w:sectPr>
      </w:pPr>
    </w:p>
    <w:p>
      <w:pPr>
        <w:pStyle w:val="Heading1"/>
        <w:spacing w:before="76"/>
        <w:ind w:left="227"/>
        <w:rPr>
          <w:b w:val="0"/>
        </w:rPr>
      </w:pPr>
      <w:bookmarkStart w:name="_TOC_250011" w:id="8"/>
      <w:bookmarkEnd w:id="8"/>
      <w:r>
        <w:rPr>
          <w:b w:val="0"/>
          <w:spacing w:val="-2"/>
        </w:rPr>
        <w:t>ADMINISTRACIÓN</w:t>
      </w:r>
    </w:p>
    <w:p>
      <w:pPr>
        <w:pStyle w:val="ListParagraph"/>
        <w:numPr>
          <w:ilvl w:val="0"/>
          <w:numId w:val="2"/>
        </w:numPr>
        <w:tabs>
          <w:tab w:pos="1048" w:val="left" w:leader="none"/>
        </w:tabs>
        <w:spacing w:line="240" w:lineRule="auto" w:before="356" w:after="0"/>
        <w:ind w:left="1048" w:right="0" w:hanging="360"/>
        <w:jc w:val="left"/>
        <w:rPr>
          <w:sz w:val="24"/>
        </w:rPr>
      </w:pPr>
      <w:r>
        <w:rPr>
          <w:sz w:val="24"/>
        </w:rPr>
        <w:t>ADMINISTRADOR</w:t>
      </w:r>
      <w:r>
        <w:rPr>
          <w:spacing w:val="-3"/>
          <w:sz w:val="24"/>
        </w:rPr>
        <w:t> </w:t>
      </w:r>
      <w:r>
        <w:rPr>
          <w:sz w:val="24"/>
        </w:rPr>
        <w:t>DE</w:t>
      </w:r>
      <w:r>
        <w:rPr>
          <w:spacing w:val="-2"/>
          <w:sz w:val="24"/>
        </w:rPr>
        <w:t> </w:t>
      </w:r>
      <w:r>
        <w:rPr>
          <w:sz w:val="24"/>
        </w:rPr>
        <w:t>CUOTAS</w:t>
      </w:r>
      <w:r>
        <w:rPr>
          <w:spacing w:val="-2"/>
          <w:sz w:val="24"/>
        </w:rPr>
        <w:t> </w:t>
      </w:r>
      <w:r>
        <w:rPr>
          <w:sz w:val="24"/>
        </w:rPr>
        <w:t>COLEGIALES,</w:t>
      </w:r>
      <w:r>
        <w:rPr>
          <w:spacing w:val="-2"/>
          <w:sz w:val="24"/>
        </w:rPr>
        <w:t> </w:t>
      </w:r>
      <w:r>
        <w:rPr>
          <w:sz w:val="24"/>
        </w:rPr>
        <w:t>VENTANILLA</w:t>
      </w:r>
      <w:r>
        <w:rPr>
          <w:spacing w:val="-2"/>
          <w:sz w:val="24"/>
        </w:rPr>
        <w:t> </w:t>
      </w:r>
      <w:r>
        <w:rPr>
          <w:sz w:val="24"/>
        </w:rPr>
        <w:t>UNICA</w:t>
      </w:r>
      <w:r>
        <w:rPr>
          <w:spacing w:val="-1"/>
          <w:sz w:val="24"/>
        </w:rPr>
        <w:t> </w:t>
      </w:r>
      <w:r>
        <w:rPr>
          <w:sz w:val="24"/>
        </w:rPr>
        <w:t>Y</w:t>
      </w:r>
      <w:r>
        <w:rPr>
          <w:spacing w:val="-2"/>
          <w:sz w:val="24"/>
        </w:rPr>
        <w:t> </w:t>
      </w:r>
      <w:r>
        <w:rPr>
          <w:sz w:val="24"/>
        </w:rPr>
        <w:t>PORTAL</w:t>
      </w:r>
      <w:r>
        <w:rPr>
          <w:spacing w:val="48"/>
          <w:sz w:val="24"/>
        </w:rPr>
        <w:t> </w:t>
      </w:r>
      <w:r>
        <w:rPr>
          <w:spacing w:val="-5"/>
          <w:sz w:val="24"/>
        </w:rPr>
        <w:t>DE</w:t>
      </w:r>
    </w:p>
    <w:p>
      <w:pPr>
        <w:pStyle w:val="BodyText"/>
        <w:spacing w:before="144"/>
        <w:ind w:right="4074"/>
        <w:jc w:val="center"/>
      </w:pPr>
      <w:r>
        <w:rPr/>
        <w:t>VISADOS:</w:t>
      </w:r>
      <w:r>
        <w:rPr>
          <w:spacing w:val="-4"/>
        </w:rPr>
        <w:t> </w:t>
      </w:r>
      <w:r>
        <w:rPr/>
        <w:t>D.</w:t>
      </w:r>
      <w:r>
        <w:rPr>
          <w:spacing w:val="-3"/>
        </w:rPr>
        <w:t> </w:t>
      </w:r>
      <w:r>
        <w:rPr/>
        <w:t>Iñigo</w:t>
      </w:r>
      <w:r>
        <w:rPr>
          <w:spacing w:val="-3"/>
        </w:rPr>
        <w:t> </w:t>
      </w:r>
      <w:r>
        <w:rPr/>
        <w:t>Jáudenes</w:t>
      </w:r>
      <w:r>
        <w:rPr>
          <w:spacing w:val="-3"/>
        </w:rPr>
        <w:t> </w:t>
      </w:r>
      <w:r>
        <w:rPr/>
        <w:t>Ruiz</w:t>
      </w:r>
      <w:r>
        <w:rPr>
          <w:spacing w:val="-3"/>
        </w:rPr>
        <w:t> </w:t>
      </w:r>
      <w:r>
        <w:rPr/>
        <w:t>de</w:t>
      </w:r>
      <w:r>
        <w:rPr>
          <w:spacing w:val="-13"/>
        </w:rPr>
        <w:t> </w:t>
      </w:r>
      <w:r>
        <w:rPr>
          <w:spacing w:val="-2"/>
        </w:rPr>
        <w:t>Atauri.</w:t>
      </w:r>
    </w:p>
    <w:p>
      <w:pPr>
        <w:pStyle w:val="ListParagraph"/>
        <w:numPr>
          <w:ilvl w:val="0"/>
          <w:numId w:val="2"/>
        </w:numPr>
        <w:tabs>
          <w:tab w:pos="1048" w:val="left" w:leader="none"/>
        </w:tabs>
        <w:spacing w:line="240" w:lineRule="auto" w:before="269" w:after="0"/>
        <w:ind w:left="1048" w:right="0" w:hanging="360"/>
        <w:jc w:val="left"/>
        <w:rPr>
          <w:sz w:val="24"/>
        </w:rPr>
      </w:pPr>
      <w:r>
        <w:rPr>
          <w:sz w:val="24"/>
        </w:rPr>
        <w:t>ADMINISTRADORA</w:t>
      </w:r>
      <w:r>
        <w:rPr>
          <w:spacing w:val="-1"/>
          <w:sz w:val="24"/>
        </w:rPr>
        <w:t> </w:t>
      </w:r>
      <w:r>
        <w:rPr>
          <w:sz w:val="24"/>
        </w:rPr>
        <w:t>DE</w:t>
      </w:r>
      <w:r>
        <w:rPr>
          <w:spacing w:val="-2"/>
          <w:sz w:val="24"/>
        </w:rPr>
        <w:t> </w:t>
      </w:r>
      <w:r>
        <w:rPr>
          <w:sz w:val="24"/>
        </w:rPr>
        <w:t>LA</w:t>
      </w:r>
      <w:r>
        <w:rPr>
          <w:spacing w:val="-1"/>
          <w:sz w:val="24"/>
        </w:rPr>
        <w:t> </w:t>
      </w:r>
      <w:r>
        <w:rPr>
          <w:sz w:val="24"/>
        </w:rPr>
        <w:t>WEB:</w:t>
      </w:r>
      <w:r>
        <w:rPr>
          <w:spacing w:val="-1"/>
          <w:sz w:val="24"/>
        </w:rPr>
        <w:t> </w:t>
      </w:r>
      <w:r>
        <w:rPr>
          <w:sz w:val="24"/>
        </w:rPr>
        <w:t>Dña.</w:t>
      </w:r>
      <w:r>
        <w:rPr>
          <w:spacing w:val="-1"/>
          <w:sz w:val="24"/>
        </w:rPr>
        <w:t> </w:t>
      </w:r>
      <w:r>
        <w:rPr>
          <w:sz w:val="24"/>
        </w:rPr>
        <w:t>M.ª</w:t>
      </w:r>
      <w:r>
        <w:rPr>
          <w:spacing w:val="-2"/>
          <w:sz w:val="24"/>
        </w:rPr>
        <w:t> </w:t>
      </w:r>
      <w:r>
        <w:rPr>
          <w:sz w:val="24"/>
        </w:rPr>
        <w:t>Candelaria</w:t>
      </w:r>
      <w:r>
        <w:rPr>
          <w:spacing w:val="-2"/>
          <w:sz w:val="24"/>
        </w:rPr>
        <w:t> </w:t>
      </w:r>
      <w:r>
        <w:rPr>
          <w:sz w:val="24"/>
        </w:rPr>
        <w:t>Sánchez</w:t>
      </w:r>
      <w:r>
        <w:rPr>
          <w:spacing w:val="-4"/>
          <w:sz w:val="24"/>
        </w:rPr>
        <w:t> </w:t>
      </w:r>
      <w:r>
        <w:rPr>
          <w:spacing w:val="-2"/>
          <w:sz w:val="24"/>
        </w:rPr>
        <w:t>Galán.</w:t>
      </w:r>
    </w:p>
    <w:p>
      <w:pPr>
        <w:pStyle w:val="ListParagraph"/>
        <w:numPr>
          <w:ilvl w:val="0"/>
          <w:numId w:val="2"/>
        </w:numPr>
        <w:tabs>
          <w:tab w:pos="359" w:val="left" w:leader="none"/>
        </w:tabs>
        <w:spacing w:line="240" w:lineRule="auto" w:before="268" w:after="0"/>
        <w:ind w:left="359" w:right="4117" w:hanging="359"/>
        <w:jc w:val="center"/>
        <w:rPr>
          <w:sz w:val="24"/>
        </w:rPr>
      </w:pPr>
      <w:r>
        <w:rPr>
          <w:sz w:val="24"/>
        </w:rPr>
        <w:t>MANTENIMIENTO</w:t>
      </w:r>
      <w:r>
        <w:rPr>
          <w:spacing w:val="-5"/>
          <w:sz w:val="24"/>
        </w:rPr>
        <w:t> </w:t>
      </w:r>
      <w:r>
        <w:rPr>
          <w:sz w:val="24"/>
        </w:rPr>
        <w:t>WEB:</w:t>
      </w:r>
      <w:r>
        <w:rPr>
          <w:spacing w:val="-1"/>
          <w:sz w:val="24"/>
        </w:rPr>
        <w:t> </w:t>
      </w:r>
      <w:r>
        <w:rPr>
          <w:sz w:val="24"/>
        </w:rPr>
        <w:t>Nimbo</w:t>
      </w:r>
      <w:r>
        <w:rPr>
          <w:spacing w:val="-2"/>
          <w:sz w:val="24"/>
        </w:rPr>
        <w:t> </w:t>
      </w:r>
      <w:r>
        <w:rPr>
          <w:sz w:val="24"/>
        </w:rPr>
        <w:t>Software.,</w:t>
      </w:r>
      <w:r>
        <w:rPr>
          <w:spacing w:val="-9"/>
          <w:sz w:val="24"/>
        </w:rPr>
        <w:t> </w:t>
      </w:r>
      <w:r>
        <w:rPr>
          <w:spacing w:val="-4"/>
          <w:sz w:val="24"/>
        </w:rPr>
        <w:t>S.L.</w:t>
      </w:r>
    </w:p>
    <w:p>
      <w:pPr>
        <w:pStyle w:val="ListParagraph"/>
        <w:numPr>
          <w:ilvl w:val="0"/>
          <w:numId w:val="2"/>
        </w:numPr>
        <w:tabs>
          <w:tab w:pos="1048" w:val="left" w:leader="none"/>
        </w:tabs>
        <w:spacing w:line="240" w:lineRule="auto" w:before="269" w:after="0"/>
        <w:ind w:left="1048" w:right="0" w:hanging="360"/>
        <w:jc w:val="left"/>
        <w:rPr>
          <w:sz w:val="24"/>
        </w:rPr>
      </w:pPr>
      <w:r>
        <w:rPr>
          <w:sz w:val="24"/>
        </w:rPr>
        <w:t>ASESORIA RGPD: Aixa</w:t>
      </w:r>
      <w:r>
        <w:rPr>
          <w:spacing w:val="-1"/>
          <w:sz w:val="24"/>
        </w:rPr>
        <w:t> </w:t>
      </w:r>
      <w:r>
        <w:rPr>
          <w:sz w:val="24"/>
        </w:rPr>
        <w:t>Corpore</w:t>
      </w:r>
      <w:r>
        <w:rPr>
          <w:spacing w:val="-6"/>
          <w:sz w:val="24"/>
        </w:rPr>
        <w:t> </w:t>
      </w:r>
      <w:r>
        <w:rPr>
          <w:spacing w:val="-4"/>
          <w:sz w:val="24"/>
        </w:rPr>
        <w:t>S.L.</w:t>
      </w:r>
    </w:p>
    <w:p>
      <w:pPr>
        <w:pStyle w:val="ListParagraph"/>
        <w:numPr>
          <w:ilvl w:val="0"/>
          <w:numId w:val="2"/>
        </w:numPr>
        <w:tabs>
          <w:tab w:pos="1048" w:val="left" w:leader="none"/>
        </w:tabs>
        <w:spacing w:line="240" w:lineRule="auto" w:before="264" w:after="0"/>
        <w:ind w:left="1048" w:right="0" w:hanging="360"/>
        <w:jc w:val="left"/>
        <w:rPr>
          <w:sz w:val="24"/>
        </w:rPr>
      </w:pPr>
      <w:r>
        <w:rPr>
          <w:sz w:val="24"/>
        </w:rPr>
        <w:t>ASESORIA</w:t>
      </w:r>
      <w:r>
        <w:rPr>
          <w:spacing w:val="-4"/>
          <w:sz w:val="24"/>
        </w:rPr>
        <w:t> </w:t>
      </w:r>
      <w:r>
        <w:rPr>
          <w:sz w:val="24"/>
        </w:rPr>
        <w:t>LABORAL</w:t>
      </w:r>
      <w:r>
        <w:rPr>
          <w:spacing w:val="-2"/>
          <w:sz w:val="24"/>
        </w:rPr>
        <w:t> </w:t>
      </w:r>
      <w:r>
        <w:rPr>
          <w:sz w:val="24"/>
        </w:rPr>
        <w:t>Y</w:t>
      </w:r>
      <w:r>
        <w:rPr>
          <w:spacing w:val="-2"/>
          <w:sz w:val="24"/>
        </w:rPr>
        <w:t> </w:t>
      </w:r>
      <w:r>
        <w:rPr>
          <w:sz w:val="24"/>
        </w:rPr>
        <w:t>FISCAL: Asesoría</w:t>
      </w:r>
      <w:r>
        <w:rPr>
          <w:spacing w:val="-2"/>
          <w:sz w:val="24"/>
        </w:rPr>
        <w:t> </w:t>
      </w:r>
      <w:r>
        <w:rPr>
          <w:sz w:val="24"/>
        </w:rPr>
        <w:t>Plasencia</w:t>
      </w:r>
      <w:r>
        <w:rPr>
          <w:spacing w:val="-2"/>
          <w:sz w:val="24"/>
        </w:rPr>
        <w:t> </w:t>
      </w:r>
      <w:r>
        <w:rPr>
          <w:sz w:val="24"/>
        </w:rPr>
        <w:t>y</w:t>
      </w:r>
      <w:r>
        <w:rPr>
          <w:spacing w:val="-1"/>
          <w:sz w:val="24"/>
        </w:rPr>
        <w:t> </w:t>
      </w:r>
      <w:r>
        <w:rPr>
          <w:sz w:val="24"/>
        </w:rPr>
        <w:t>García</w:t>
      </w:r>
      <w:r>
        <w:rPr>
          <w:spacing w:val="-2"/>
          <w:sz w:val="24"/>
        </w:rPr>
        <w:t> </w:t>
      </w:r>
      <w:r>
        <w:rPr>
          <w:sz w:val="24"/>
        </w:rPr>
        <w:t>del</w:t>
      </w:r>
      <w:r>
        <w:rPr>
          <w:spacing w:val="-1"/>
          <w:sz w:val="24"/>
        </w:rPr>
        <w:t> </w:t>
      </w:r>
      <w:r>
        <w:rPr>
          <w:sz w:val="24"/>
        </w:rPr>
        <w:t>Castillo,</w:t>
      </w:r>
      <w:r>
        <w:rPr>
          <w:spacing w:val="-14"/>
          <w:sz w:val="24"/>
        </w:rPr>
        <w:t> </w:t>
      </w:r>
      <w:r>
        <w:rPr>
          <w:spacing w:val="-4"/>
          <w:sz w:val="24"/>
        </w:rPr>
        <w:t>S.L.</w:t>
      </w:r>
    </w:p>
    <w:p>
      <w:pPr>
        <w:pStyle w:val="ListParagraph"/>
        <w:numPr>
          <w:ilvl w:val="0"/>
          <w:numId w:val="2"/>
        </w:numPr>
        <w:tabs>
          <w:tab w:pos="1048" w:val="left" w:leader="none"/>
        </w:tabs>
        <w:spacing w:line="240" w:lineRule="auto" w:before="269" w:after="0"/>
        <w:ind w:left="1048" w:right="0" w:hanging="360"/>
        <w:jc w:val="left"/>
        <w:rPr>
          <w:sz w:val="24"/>
        </w:rPr>
      </w:pPr>
      <w:r>
        <w:rPr>
          <w:sz w:val="24"/>
        </w:rPr>
        <w:t>EMPRESA CONTRAINCENDIOS: Drexmin.,</w:t>
      </w:r>
      <w:r>
        <w:rPr>
          <w:spacing w:val="-3"/>
          <w:sz w:val="24"/>
        </w:rPr>
        <w:t> </w:t>
      </w:r>
      <w:r>
        <w:rPr>
          <w:spacing w:val="-4"/>
          <w:sz w:val="24"/>
        </w:rPr>
        <w:t>S.L.</w:t>
      </w:r>
    </w:p>
    <w:p>
      <w:pPr>
        <w:pStyle w:val="BodyText"/>
      </w:pPr>
    </w:p>
    <w:p>
      <w:pPr>
        <w:pStyle w:val="BodyText"/>
      </w:pPr>
    </w:p>
    <w:p>
      <w:pPr>
        <w:pStyle w:val="BodyText"/>
        <w:spacing w:before="268"/>
      </w:pPr>
    </w:p>
    <w:p>
      <w:pPr>
        <w:pStyle w:val="Heading1"/>
        <w:spacing w:before="0"/>
        <w:rPr>
          <w:b w:val="0"/>
        </w:rPr>
      </w:pPr>
      <w:bookmarkStart w:name="_TOC_250010" w:id="9"/>
      <w:bookmarkEnd w:id="9"/>
      <w:r>
        <w:rPr>
          <w:b w:val="0"/>
          <w:spacing w:val="-2"/>
        </w:rPr>
        <w:t>TRANSPARENCIA</w:t>
      </w:r>
    </w:p>
    <w:p>
      <w:pPr>
        <w:pStyle w:val="BodyText"/>
        <w:spacing w:line="360" w:lineRule="auto" w:before="375"/>
        <w:ind w:left="328" w:right="1375"/>
        <w:jc w:val="both"/>
      </w:pPr>
      <w:r>
        <w:rPr/>
        <w:t>En el periodo 2024, último evaluado, el Colegio Oficial de Químicos de Canarias alcanzó la</w:t>
      </w:r>
      <w:r>
        <w:rPr>
          <w:spacing w:val="-2"/>
        </w:rPr>
        <w:t> </w:t>
      </w:r>
      <w:r>
        <w:rPr/>
        <w:t>máxima</w:t>
      </w:r>
      <w:r>
        <w:rPr>
          <w:spacing w:val="-2"/>
        </w:rPr>
        <w:t> </w:t>
      </w:r>
      <w:r>
        <w:rPr/>
        <w:t>nota</w:t>
      </w:r>
      <w:r>
        <w:rPr>
          <w:spacing w:val="-2"/>
        </w:rPr>
        <w:t> </w:t>
      </w:r>
      <w:r>
        <w:rPr/>
        <w:t>en</w:t>
      </w:r>
      <w:r>
        <w:rPr>
          <w:spacing w:val="-2"/>
        </w:rPr>
        <w:t> </w:t>
      </w:r>
      <w:r>
        <w:rPr/>
        <w:t>el</w:t>
      </w:r>
      <w:r>
        <w:rPr>
          <w:spacing w:val="-2"/>
        </w:rPr>
        <w:t> </w:t>
      </w:r>
      <w:r>
        <w:rPr/>
        <w:t>Índice</w:t>
      </w:r>
      <w:r>
        <w:rPr>
          <w:spacing w:val="-1"/>
        </w:rPr>
        <w:t> </w:t>
      </w:r>
      <w:r>
        <w:rPr/>
        <w:t>de</w:t>
      </w:r>
      <w:r>
        <w:rPr>
          <w:spacing w:val="-1"/>
        </w:rPr>
        <w:t> </w:t>
      </w:r>
      <w:r>
        <w:rPr/>
        <w:t>Transparencia</w:t>
      </w:r>
      <w:r>
        <w:rPr>
          <w:spacing w:val="-2"/>
        </w:rPr>
        <w:t> </w:t>
      </w:r>
      <w:r>
        <w:rPr/>
        <w:t>de</w:t>
      </w:r>
      <w:r>
        <w:rPr>
          <w:spacing w:val="-1"/>
        </w:rPr>
        <w:t> </w:t>
      </w:r>
      <w:r>
        <w:rPr/>
        <w:t>Canarias.</w:t>
      </w:r>
      <w:r>
        <w:rPr>
          <w:spacing w:val="-1"/>
        </w:rPr>
        <w:t> </w:t>
      </w:r>
      <w:r>
        <w:rPr/>
        <w:t>Además,</w:t>
      </w:r>
      <w:r>
        <w:rPr>
          <w:spacing w:val="-2"/>
        </w:rPr>
        <w:t> </w:t>
      </w:r>
      <w:r>
        <w:rPr/>
        <w:t>fue</w:t>
      </w:r>
      <w:r>
        <w:rPr>
          <w:spacing w:val="-2"/>
        </w:rPr>
        <w:t> </w:t>
      </w:r>
      <w:r>
        <w:rPr/>
        <w:t>galardonado</w:t>
      </w:r>
      <w:r>
        <w:rPr>
          <w:spacing w:val="-1"/>
        </w:rPr>
        <w:t> </w:t>
      </w:r>
      <w:r>
        <w:rPr/>
        <w:t>con la Medalla de Bronce por sus cuatro máximas notas alcanzadas.</w:t>
      </w:r>
    </w:p>
    <w:p>
      <w:pPr>
        <w:pStyle w:val="BodyText"/>
        <w:spacing w:line="360" w:lineRule="auto" w:before="122"/>
        <w:ind w:left="328" w:right="1364"/>
        <w:jc w:val="both"/>
      </w:pPr>
      <w:r>
        <w:rPr/>
        <w:t>El</w:t>
      </w:r>
      <w:r>
        <w:rPr>
          <w:spacing w:val="-6"/>
        </w:rPr>
        <w:t> </w:t>
      </w:r>
      <w:r>
        <w:rPr/>
        <w:t>Índice</w:t>
      </w:r>
      <w:r>
        <w:rPr>
          <w:spacing w:val="-9"/>
        </w:rPr>
        <w:t> </w:t>
      </w:r>
      <w:r>
        <w:rPr/>
        <w:t>de</w:t>
      </w:r>
      <w:r>
        <w:rPr>
          <w:spacing w:val="-8"/>
        </w:rPr>
        <w:t> </w:t>
      </w:r>
      <w:r>
        <w:rPr/>
        <w:t>Transparencia</w:t>
      </w:r>
      <w:r>
        <w:rPr>
          <w:spacing w:val="-6"/>
        </w:rPr>
        <w:t> </w:t>
      </w:r>
      <w:r>
        <w:rPr/>
        <w:t>de</w:t>
      </w:r>
      <w:r>
        <w:rPr>
          <w:spacing w:val="-8"/>
        </w:rPr>
        <w:t> </w:t>
      </w:r>
      <w:r>
        <w:rPr/>
        <w:t>Canarias</w:t>
      </w:r>
      <w:r>
        <w:rPr>
          <w:spacing w:val="-9"/>
        </w:rPr>
        <w:t> </w:t>
      </w:r>
      <w:r>
        <w:rPr/>
        <w:t>mide</w:t>
      </w:r>
      <w:r>
        <w:rPr>
          <w:spacing w:val="-8"/>
        </w:rPr>
        <w:t> </w:t>
      </w:r>
      <w:r>
        <w:rPr/>
        <w:t>el</w:t>
      </w:r>
      <w:r>
        <w:rPr>
          <w:spacing w:val="-6"/>
        </w:rPr>
        <w:t> </w:t>
      </w:r>
      <w:r>
        <w:rPr/>
        <w:t>mayor</w:t>
      </w:r>
      <w:r>
        <w:rPr>
          <w:spacing w:val="-6"/>
        </w:rPr>
        <w:t> </w:t>
      </w:r>
      <w:r>
        <w:rPr/>
        <w:t>o</w:t>
      </w:r>
      <w:r>
        <w:rPr>
          <w:spacing w:val="-6"/>
        </w:rPr>
        <w:t> </w:t>
      </w:r>
      <w:r>
        <w:rPr/>
        <w:t>menor</w:t>
      </w:r>
      <w:r>
        <w:rPr>
          <w:spacing w:val="-8"/>
        </w:rPr>
        <w:t> </w:t>
      </w:r>
      <w:r>
        <w:rPr/>
        <w:t>grado</w:t>
      </w:r>
      <w:r>
        <w:rPr>
          <w:spacing w:val="-6"/>
        </w:rPr>
        <w:t> </w:t>
      </w:r>
      <w:r>
        <w:rPr/>
        <w:t>de</w:t>
      </w:r>
      <w:r>
        <w:rPr>
          <w:spacing w:val="-6"/>
        </w:rPr>
        <w:t> </w:t>
      </w:r>
      <w:r>
        <w:rPr/>
        <w:t>cumplimiento</w:t>
      </w:r>
      <w:r>
        <w:rPr>
          <w:spacing w:val="-7"/>
        </w:rPr>
        <w:t> </w:t>
      </w:r>
      <w:r>
        <w:rPr/>
        <w:t>de las obligaciones informativas contempladas en la Ley de Transparencia de Canarias</w:t>
      </w:r>
      <w:r>
        <w:rPr>
          <w:spacing w:val="40"/>
        </w:rPr>
        <w:t> </w:t>
      </w:r>
      <w:r>
        <w:rPr/>
        <w:t>por las 347 entidades públicas del Archipiélago, por 706 privadas (subvencionadas con más de 60.000 euros anuales) y por 66 colegios profesionales y cámaras de</w:t>
      </w:r>
      <w:r>
        <w:rPr>
          <w:spacing w:val="-28"/>
        </w:rPr>
        <w:t> </w:t>
      </w:r>
      <w:r>
        <w:rPr/>
        <w:t>comercio.</w:t>
      </w:r>
    </w:p>
    <w:p>
      <w:pPr>
        <w:pStyle w:val="BodyText"/>
        <w:spacing w:after="0" w:line="360" w:lineRule="auto"/>
        <w:jc w:val="both"/>
        <w:sectPr>
          <w:footerReference w:type="default" r:id="rId7"/>
          <w:pgSz w:w="11900" w:h="16840"/>
          <w:pgMar w:header="0" w:footer="468" w:top="1380" w:bottom="660" w:left="1275" w:right="283"/>
        </w:sectPr>
      </w:pPr>
    </w:p>
    <w:p>
      <w:pPr>
        <w:pStyle w:val="Heading1"/>
        <w:ind w:left="227"/>
        <w:rPr>
          <w:b w:val="0"/>
        </w:rPr>
      </w:pPr>
      <w:bookmarkStart w:name="_TOC_250009" w:id="10"/>
      <w:r>
        <w:rPr>
          <w:b w:val="0"/>
        </w:rPr>
        <w:t>CENSO</w:t>
      </w:r>
      <w:r>
        <w:rPr>
          <w:b w:val="0"/>
          <w:spacing w:val="-2"/>
        </w:rPr>
        <w:t> </w:t>
      </w:r>
      <w:r>
        <w:rPr>
          <w:b w:val="0"/>
        </w:rPr>
        <w:t>DE</w:t>
      </w:r>
      <w:r>
        <w:rPr>
          <w:b w:val="0"/>
          <w:spacing w:val="-16"/>
        </w:rPr>
        <w:t> </w:t>
      </w:r>
      <w:bookmarkEnd w:id="10"/>
      <w:r>
        <w:rPr>
          <w:b w:val="0"/>
          <w:spacing w:val="-2"/>
        </w:rPr>
        <w:t>COLEGIADOS</w:t>
      </w:r>
    </w:p>
    <w:p>
      <w:pPr>
        <w:pStyle w:val="BodyText"/>
        <w:tabs>
          <w:tab w:pos="4547" w:val="left" w:leader="none"/>
        </w:tabs>
        <w:spacing w:before="433"/>
        <w:ind w:left="328"/>
      </w:pPr>
      <w:r>
        <w:rPr/>
        <w:t>Existentes</w:t>
      </w:r>
      <w:r>
        <w:rPr>
          <w:spacing w:val="-7"/>
        </w:rPr>
        <w:t> </w:t>
      </w:r>
      <w:r>
        <w:rPr/>
        <w:t>al</w:t>
      </w:r>
      <w:r>
        <w:rPr>
          <w:spacing w:val="-7"/>
        </w:rPr>
        <w:t> </w:t>
      </w:r>
      <w:r>
        <w:rPr/>
        <w:t>31-12-</w:t>
      </w:r>
      <w:r>
        <w:rPr>
          <w:spacing w:val="-4"/>
        </w:rPr>
        <w:t>2024</w:t>
      </w:r>
      <w:r>
        <w:rPr/>
        <w:tab/>
        <w:t>151</w:t>
      </w:r>
      <w:r>
        <w:rPr>
          <w:spacing w:val="-1"/>
        </w:rPr>
        <w:t> </w:t>
      </w:r>
      <w:r>
        <w:rPr>
          <w:spacing w:val="-2"/>
        </w:rPr>
        <w:t>colegiados</w:t>
      </w:r>
    </w:p>
    <w:p>
      <w:pPr>
        <w:pStyle w:val="BodyText"/>
        <w:tabs>
          <w:tab w:pos="4547" w:val="left" w:leader="none"/>
        </w:tabs>
        <w:spacing w:before="144"/>
        <w:ind w:left="328"/>
      </w:pPr>
      <w:r>
        <w:rPr>
          <w:spacing w:val="-2"/>
        </w:rPr>
        <w:t>Altas</w:t>
      </w:r>
      <w:r>
        <w:rPr/>
        <w:tab/>
        <w:t>14 </w:t>
      </w:r>
      <w:r>
        <w:rPr>
          <w:spacing w:val="-2"/>
        </w:rPr>
        <w:t>colegiados</w:t>
      </w:r>
    </w:p>
    <w:p>
      <w:pPr>
        <w:pStyle w:val="BodyText"/>
        <w:spacing w:before="148"/>
        <w:ind w:left="4547"/>
      </w:pPr>
      <w:r>
        <w:rPr/>
        <w:t>(6</w:t>
      </w:r>
      <w:r>
        <w:rPr>
          <w:spacing w:val="-2"/>
        </w:rPr>
        <w:t> </w:t>
      </w:r>
      <w:r>
        <w:rPr/>
        <w:t>Ejercientes/8</w:t>
      </w:r>
      <w:r>
        <w:rPr>
          <w:spacing w:val="-1"/>
        </w:rPr>
        <w:t> </w:t>
      </w:r>
      <w:r>
        <w:rPr/>
        <w:t>No</w:t>
      </w:r>
      <w:r>
        <w:rPr>
          <w:spacing w:val="-2"/>
        </w:rPr>
        <w:t> ejercientes)</w:t>
      </w:r>
    </w:p>
    <w:p>
      <w:pPr>
        <w:pStyle w:val="BodyText"/>
        <w:tabs>
          <w:tab w:pos="4547" w:val="left" w:leader="none"/>
        </w:tabs>
        <w:spacing w:before="144"/>
        <w:ind w:left="328"/>
      </w:pPr>
      <w:r>
        <w:rPr>
          <w:spacing w:val="-2"/>
        </w:rPr>
        <w:t>Bajas</w:t>
      </w:r>
      <w:r>
        <w:rPr/>
        <w:tab/>
        <w:t>14</w:t>
      </w:r>
      <w:r>
        <w:rPr>
          <w:spacing w:val="-1"/>
        </w:rPr>
        <w:t> </w:t>
      </w:r>
      <w:r>
        <w:rPr>
          <w:spacing w:val="-2"/>
        </w:rPr>
        <w:t>colegiados</w:t>
      </w:r>
    </w:p>
    <w:p>
      <w:pPr>
        <w:pStyle w:val="BodyText"/>
      </w:pPr>
    </w:p>
    <w:p>
      <w:pPr>
        <w:pStyle w:val="BodyText"/>
      </w:pPr>
    </w:p>
    <w:p>
      <w:pPr>
        <w:tabs>
          <w:tab w:pos="4547" w:val="left" w:leader="none"/>
        </w:tabs>
        <w:spacing w:before="0"/>
        <w:ind w:left="227" w:right="0" w:firstLine="0"/>
        <w:jc w:val="left"/>
        <w:rPr>
          <w:sz w:val="24"/>
        </w:rPr>
      </w:pPr>
      <w:r>
        <w:rPr>
          <w:b/>
          <w:sz w:val="24"/>
        </w:rPr>
        <w:t>Total,</w:t>
      </w:r>
      <w:r>
        <w:rPr>
          <w:b/>
          <w:spacing w:val="-2"/>
          <w:sz w:val="24"/>
        </w:rPr>
        <w:t> </w:t>
      </w:r>
      <w:r>
        <w:rPr>
          <w:b/>
          <w:sz w:val="24"/>
        </w:rPr>
        <w:t>de</w:t>
      </w:r>
      <w:r>
        <w:rPr>
          <w:b/>
          <w:spacing w:val="-3"/>
          <w:sz w:val="24"/>
        </w:rPr>
        <w:t> </w:t>
      </w:r>
      <w:r>
        <w:rPr>
          <w:b/>
          <w:sz w:val="24"/>
        </w:rPr>
        <w:t>colegiados</w:t>
      </w:r>
      <w:r>
        <w:rPr>
          <w:b/>
          <w:spacing w:val="-2"/>
          <w:sz w:val="24"/>
        </w:rPr>
        <w:t> </w:t>
      </w:r>
      <w:r>
        <w:rPr>
          <w:b/>
          <w:sz w:val="24"/>
        </w:rPr>
        <w:t>a</w:t>
      </w:r>
      <w:r>
        <w:rPr>
          <w:b/>
          <w:spacing w:val="-2"/>
          <w:sz w:val="24"/>
        </w:rPr>
        <w:t> 31/12/2025:</w:t>
      </w:r>
      <w:r>
        <w:rPr>
          <w:b/>
          <w:sz w:val="24"/>
        </w:rPr>
        <w:tab/>
      </w:r>
      <w:r>
        <w:rPr>
          <w:sz w:val="24"/>
        </w:rPr>
        <w:t>152</w:t>
      </w:r>
      <w:r>
        <w:rPr>
          <w:spacing w:val="-1"/>
          <w:sz w:val="24"/>
        </w:rPr>
        <w:t> </w:t>
      </w:r>
      <w:r>
        <w:rPr>
          <w:spacing w:val="-2"/>
          <w:sz w:val="24"/>
        </w:rPr>
        <w:t>colegiados</w:t>
      </w:r>
    </w:p>
    <w:p>
      <w:pPr>
        <w:pStyle w:val="BodyText"/>
        <w:spacing w:before="292"/>
        <w:ind w:left="4547"/>
      </w:pPr>
      <w:r>
        <w:rPr/>
        <w:t>19</w:t>
      </w:r>
      <w:r>
        <w:rPr>
          <w:spacing w:val="-1"/>
        </w:rPr>
        <w:t> </w:t>
      </w:r>
      <w:r>
        <w:rPr>
          <w:spacing w:val="-2"/>
        </w:rPr>
        <w:t>jubilados</w:t>
      </w:r>
    </w:p>
    <w:p>
      <w:pPr>
        <w:pStyle w:val="BodyText"/>
        <w:ind w:left="4547"/>
      </w:pPr>
      <w:r>
        <w:rPr/>
        <w:t>41 no </w:t>
      </w:r>
      <w:r>
        <w:rPr>
          <w:spacing w:val="-2"/>
        </w:rPr>
        <w:t>ejercientes</w:t>
      </w:r>
    </w:p>
    <w:p>
      <w:pPr>
        <w:pStyle w:val="BodyText"/>
        <w:spacing w:before="5"/>
        <w:ind w:left="4547"/>
      </w:pPr>
      <w:r>
        <w:rPr/>
        <w:t>92 </w:t>
      </w:r>
      <w:r>
        <w:rPr>
          <w:spacing w:val="-2"/>
        </w:rPr>
        <w:t>ejercientes</w:t>
      </w:r>
    </w:p>
    <w:p>
      <w:pPr>
        <w:pStyle w:val="BodyText"/>
        <w:spacing w:before="216"/>
      </w:pPr>
    </w:p>
    <w:p>
      <w:pPr>
        <w:pStyle w:val="Heading1"/>
        <w:spacing w:before="0"/>
        <w:rPr>
          <w:b w:val="0"/>
        </w:rPr>
      </w:pPr>
      <w:bookmarkStart w:name="_TOC_250008" w:id="11"/>
      <w:r>
        <w:rPr>
          <w:b w:val="0"/>
        </w:rPr>
        <w:t>CONVENIOS</w:t>
      </w:r>
      <w:r>
        <w:rPr>
          <w:b w:val="0"/>
          <w:spacing w:val="-14"/>
        </w:rPr>
        <w:t> </w:t>
      </w:r>
      <w:bookmarkEnd w:id="11"/>
      <w:r>
        <w:rPr>
          <w:b w:val="0"/>
          <w:spacing w:val="-4"/>
        </w:rPr>
        <w:t>2025</w:t>
      </w:r>
    </w:p>
    <w:p>
      <w:pPr>
        <w:pStyle w:val="BodyText"/>
        <w:spacing w:before="132"/>
        <w:rPr>
          <w:rFonts w:ascii="Arial Black"/>
          <w:sz w:val="20"/>
        </w:rPr>
      </w:pPr>
      <w:r>
        <w:rPr>
          <w:rFonts w:ascii="Arial Black"/>
          <w:sz w:val="20"/>
        </w:rPr>
        <w:drawing>
          <wp:anchor distT="0" distB="0" distL="0" distR="0" allowOverlap="1" layoutInCell="1" locked="0" behindDoc="1" simplePos="0" relativeHeight="487588864">
            <wp:simplePos x="0" y="0"/>
            <wp:positionH relativeFrom="page">
              <wp:posOffset>952500</wp:posOffset>
            </wp:positionH>
            <wp:positionV relativeFrom="paragraph">
              <wp:posOffset>278480</wp:posOffset>
            </wp:positionV>
            <wp:extent cx="5514066" cy="3985164"/>
            <wp:effectExtent l="0" t="0" r="0" b="0"/>
            <wp:wrapTopAndBottom/>
            <wp:docPr id="7" name="Image 7"/>
            <wp:cNvGraphicFramePr>
              <a:graphicFrameLocks/>
            </wp:cNvGraphicFramePr>
            <a:graphic>
              <a:graphicData uri="http://schemas.openxmlformats.org/drawingml/2006/picture">
                <pic:pic>
                  <pic:nvPicPr>
                    <pic:cNvPr id="7" name="Image 7"/>
                    <pic:cNvPicPr/>
                  </pic:nvPicPr>
                  <pic:blipFill>
                    <a:blip r:embed="rId9" cstate="print"/>
                    <a:stretch>
                      <a:fillRect/>
                    </a:stretch>
                  </pic:blipFill>
                  <pic:spPr>
                    <a:xfrm>
                      <a:off x="0" y="0"/>
                      <a:ext cx="5514066" cy="3985164"/>
                    </a:xfrm>
                    <a:prstGeom prst="rect">
                      <a:avLst/>
                    </a:prstGeom>
                  </pic:spPr>
                </pic:pic>
              </a:graphicData>
            </a:graphic>
          </wp:anchor>
        </w:drawing>
      </w:r>
    </w:p>
    <w:p>
      <w:pPr>
        <w:pStyle w:val="BodyText"/>
        <w:spacing w:after="0"/>
        <w:rPr>
          <w:rFonts w:ascii="Arial Black"/>
          <w:sz w:val="20"/>
        </w:rPr>
        <w:sectPr>
          <w:footerReference w:type="default" r:id="rId8"/>
          <w:pgSz w:w="11900" w:h="16840"/>
          <w:pgMar w:header="0" w:footer="516" w:top="1240" w:bottom="700" w:left="1275" w:right="283"/>
          <w:pgNumType w:start="11"/>
        </w:sectPr>
      </w:pPr>
    </w:p>
    <w:p>
      <w:pPr>
        <w:spacing w:line="240" w:lineRule="auto"/>
        <w:ind w:left="225" w:right="0" w:firstLine="0"/>
        <w:rPr>
          <w:rFonts w:ascii="Arial Black"/>
          <w:sz w:val="20"/>
        </w:rPr>
      </w:pPr>
      <w:r>
        <w:rPr>
          <w:rFonts w:ascii="Arial Black"/>
          <w:sz w:val="20"/>
        </w:rPr>
        <w:drawing>
          <wp:inline distT="0" distB="0" distL="0" distR="0">
            <wp:extent cx="5514777" cy="7814691"/>
            <wp:effectExtent l="0" t="0" r="0" b="0"/>
            <wp:docPr id="8" name="Image 8"/>
            <wp:cNvGraphicFramePr>
              <a:graphicFrameLocks/>
            </wp:cNvGraphicFramePr>
            <a:graphic>
              <a:graphicData uri="http://schemas.openxmlformats.org/drawingml/2006/picture">
                <pic:pic>
                  <pic:nvPicPr>
                    <pic:cNvPr id="8" name="Image 8"/>
                    <pic:cNvPicPr/>
                  </pic:nvPicPr>
                  <pic:blipFill>
                    <a:blip r:embed="rId10" cstate="print"/>
                    <a:stretch>
                      <a:fillRect/>
                    </a:stretch>
                  </pic:blipFill>
                  <pic:spPr>
                    <a:xfrm>
                      <a:off x="0" y="0"/>
                      <a:ext cx="5514777" cy="7814691"/>
                    </a:xfrm>
                    <a:prstGeom prst="rect">
                      <a:avLst/>
                    </a:prstGeom>
                  </pic:spPr>
                </pic:pic>
              </a:graphicData>
            </a:graphic>
          </wp:inline>
        </w:drawing>
      </w:r>
      <w:r>
        <w:rPr>
          <w:rFonts w:ascii="Arial Black"/>
          <w:sz w:val="20"/>
        </w:rPr>
      </w:r>
    </w:p>
    <w:p>
      <w:pPr>
        <w:spacing w:after="0" w:line="240" w:lineRule="auto"/>
        <w:rPr>
          <w:rFonts w:ascii="Arial Black"/>
          <w:sz w:val="20"/>
        </w:rPr>
        <w:sectPr>
          <w:pgSz w:w="11900" w:h="16840"/>
          <w:pgMar w:header="0" w:footer="516" w:top="1340" w:bottom="700" w:left="1275" w:right="283"/>
        </w:sectPr>
      </w:pPr>
    </w:p>
    <w:p>
      <w:pPr>
        <w:spacing w:line="240" w:lineRule="auto"/>
        <w:ind w:left="225" w:right="0" w:firstLine="0"/>
        <w:rPr>
          <w:rFonts w:ascii="Arial Black"/>
          <w:sz w:val="20"/>
        </w:rPr>
      </w:pPr>
      <w:r>
        <w:rPr>
          <w:rFonts w:ascii="Arial Black"/>
          <w:sz w:val="20"/>
        </w:rPr>
        <w:drawing>
          <wp:inline distT="0" distB="0" distL="0" distR="0">
            <wp:extent cx="5513418" cy="3903249"/>
            <wp:effectExtent l="0" t="0" r="0" b="0"/>
            <wp:docPr id="9" name="Image 9"/>
            <wp:cNvGraphicFramePr>
              <a:graphicFrameLocks/>
            </wp:cNvGraphicFramePr>
            <a:graphic>
              <a:graphicData uri="http://schemas.openxmlformats.org/drawingml/2006/picture">
                <pic:pic>
                  <pic:nvPicPr>
                    <pic:cNvPr id="9" name="Image 9"/>
                    <pic:cNvPicPr/>
                  </pic:nvPicPr>
                  <pic:blipFill>
                    <a:blip r:embed="rId11" cstate="print"/>
                    <a:stretch>
                      <a:fillRect/>
                    </a:stretch>
                  </pic:blipFill>
                  <pic:spPr>
                    <a:xfrm>
                      <a:off x="0" y="0"/>
                      <a:ext cx="5513418" cy="3903249"/>
                    </a:xfrm>
                    <a:prstGeom prst="rect">
                      <a:avLst/>
                    </a:prstGeom>
                  </pic:spPr>
                </pic:pic>
              </a:graphicData>
            </a:graphic>
          </wp:inline>
        </w:drawing>
      </w:r>
      <w:r>
        <w:rPr>
          <w:rFonts w:ascii="Arial Black"/>
          <w:sz w:val="20"/>
        </w:rPr>
      </w:r>
    </w:p>
    <w:p>
      <w:pPr>
        <w:spacing w:after="0" w:line="240" w:lineRule="auto"/>
        <w:rPr>
          <w:rFonts w:ascii="Arial Black"/>
          <w:sz w:val="20"/>
        </w:rPr>
        <w:sectPr>
          <w:pgSz w:w="11900" w:h="16840"/>
          <w:pgMar w:header="0" w:footer="516" w:top="1340" w:bottom="700" w:left="1275" w:right="283"/>
        </w:sectPr>
      </w:pPr>
    </w:p>
    <w:p>
      <w:pPr>
        <w:pStyle w:val="Heading1"/>
        <w:jc w:val="both"/>
        <w:rPr>
          <w:b w:val="0"/>
        </w:rPr>
      </w:pPr>
      <w:bookmarkStart w:name="_TOC_250007" w:id="12"/>
      <w:r>
        <w:rPr>
          <w:b w:val="0"/>
        </w:rPr>
        <w:t>RESUMEN</w:t>
      </w:r>
      <w:r>
        <w:rPr>
          <w:b w:val="0"/>
          <w:spacing w:val="-2"/>
        </w:rPr>
        <w:t> </w:t>
      </w:r>
      <w:r>
        <w:rPr>
          <w:b w:val="0"/>
        </w:rPr>
        <w:t>DE</w:t>
      </w:r>
      <w:bookmarkEnd w:id="12"/>
      <w:r>
        <w:rPr>
          <w:b w:val="0"/>
          <w:spacing w:val="-2"/>
        </w:rPr>
        <w:t> ACTIVIDADES</w:t>
      </w:r>
    </w:p>
    <w:p>
      <w:pPr>
        <w:pStyle w:val="Heading4"/>
        <w:spacing w:line="362" w:lineRule="auto" w:before="356"/>
        <w:ind w:left="5489" w:right="1186"/>
        <w:jc w:val="left"/>
      </w:pPr>
      <w:r>
        <w:rPr/>
        <w:drawing>
          <wp:anchor distT="0" distB="0" distL="0" distR="0" allowOverlap="1" layoutInCell="1" locked="0" behindDoc="0" simplePos="0" relativeHeight="15730176">
            <wp:simplePos x="0" y="0"/>
            <wp:positionH relativeFrom="page">
              <wp:posOffset>972311</wp:posOffset>
            </wp:positionH>
            <wp:positionV relativeFrom="paragraph">
              <wp:posOffset>191607</wp:posOffset>
            </wp:positionV>
            <wp:extent cx="3203448" cy="4197096"/>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2" cstate="print"/>
                    <a:stretch>
                      <a:fillRect/>
                    </a:stretch>
                  </pic:blipFill>
                  <pic:spPr>
                    <a:xfrm>
                      <a:off x="0" y="0"/>
                      <a:ext cx="3203448" cy="4197096"/>
                    </a:xfrm>
                    <a:prstGeom prst="rect">
                      <a:avLst/>
                    </a:prstGeom>
                  </pic:spPr>
                </pic:pic>
              </a:graphicData>
            </a:graphic>
          </wp:anchor>
        </w:drawing>
      </w:r>
      <w:r>
        <w:rPr/>
        <w:t>I JORNADA DE COLEGIOS PROFESIONALES</w:t>
      </w:r>
      <w:r>
        <w:rPr>
          <w:spacing w:val="-14"/>
        </w:rPr>
        <w:t> </w:t>
      </w:r>
      <w:r>
        <w:rPr/>
        <w:t>DE</w:t>
      </w:r>
      <w:r>
        <w:rPr>
          <w:spacing w:val="-14"/>
        </w:rPr>
        <w:t> </w:t>
      </w:r>
      <w:r>
        <w:rPr/>
        <w:t>CANARIAS</w:t>
      </w:r>
    </w:p>
    <w:p>
      <w:pPr>
        <w:pStyle w:val="BodyText"/>
        <w:spacing w:line="360" w:lineRule="auto"/>
        <w:ind w:left="5489" w:right="1311"/>
        <w:jc w:val="both"/>
      </w:pPr>
      <w:r>
        <w:rPr/>
        <w:t>El 23 de enero, la Decana participó en la I Jornada de Colegios Profesionales de Canarias, un espacio de reflexión intercolegial orientado a fortalecer la coordinación entre corporaciones profesionales del Archipiélago. Este encuentro permitió avanzar en la interlocución conjunta ante la Administración autonómica y reforzar el posicionamiento del Colegio como actor relevante en el ámbito institucional canario.</w:t>
      </w:r>
    </w:p>
    <w:p>
      <w:pPr>
        <w:pStyle w:val="BodyText"/>
        <w:spacing w:before="141"/>
      </w:pPr>
    </w:p>
    <w:p>
      <w:pPr>
        <w:pStyle w:val="Heading4"/>
        <w:spacing w:before="1"/>
        <w:ind w:left="328"/>
      </w:pPr>
      <w:r>
        <w:rPr/>
        <w:t>REUNIONES PREPARATORIAS DÍA INTERNACIONAL DE LA </w:t>
      </w:r>
      <w:r>
        <w:rPr>
          <w:spacing w:val="-2"/>
        </w:rPr>
        <w:t>MUJER</w:t>
      </w:r>
    </w:p>
    <w:p>
      <w:pPr>
        <w:pStyle w:val="BodyText"/>
        <w:spacing w:line="360" w:lineRule="auto" w:before="143"/>
        <w:ind w:left="328" w:right="1312"/>
        <w:jc w:val="both"/>
      </w:pPr>
      <w:r>
        <w:rPr/>
        <w:t>Durante el mes de enero se mantuvieron reuniones con la Universidad de La Laguna, encabezadas por la Vicerrectora Candela Díaz, para coordinar la organización de la mesa de debate con motivo del Día Internacional de la Mujer. Estas reuniones consolidaron la colaboración entre el Colegio y la ULL en materia de igualdad, reflexión social y visibilización del talento femenino en el ámbito científico y profesional.</w:t>
      </w:r>
    </w:p>
    <w:p>
      <w:pPr>
        <w:pStyle w:val="BodyText"/>
        <w:spacing w:before="150"/>
      </w:pPr>
    </w:p>
    <w:p>
      <w:pPr>
        <w:pStyle w:val="Heading4"/>
        <w:ind w:left="328"/>
      </w:pPr>
      <w:r>
        <w:rPr/>
        <w:t>MESA</w:t>
      </w:r>
      <w:r>
        <w:rPr>
          <w:spacing w:val="-2"/>
        </w:rPr>
        <w:t> </w:t>
      </w:r>
      <w:r>
        <w:rPr/>
        <w:t>DE</w:t>
      </w:r>
      <w:r>
        <w:rPr>
          <w:spacing w:val="-1"/>
        </w:rPr>
        <w:t> </w:t>
      </w:r>
      <w:r>
        <w:rPr/>
        <w:t>DEBATE</w:t>
      </w:r>
      <w:r>
        <w:rPr>
          <w:spacing w:val="-2"/>
        </w:rPr>
        <w:t> </w:t>
      </w:r>
      <w:r>
        <w:rPr/>
        <w:t>“MUJER,</w:t>
      </w:r>
      <w:r>
        <w:rPr>
          <w:spacing w:val="-1"/>
        </w:rPr>
        <w:t> </w:t>
      </w:r>
      <w:r>
        <w:rPr/>
        <w:t>TRABAJO</w:t>
      </w:r>
      <w:r>
        <w:rPr>
          <w:spacing w:val="-2"/>
        </w:rPr>
        <w:t> </w:t>
      </w:r>
      <w:r>
        <w:rPr/>
        <w:t>Y</w:t>
      </w:r>
      <w:r>
        <w:rPr>
          <w:spacing w:val="-1"/>
        </w:rPr>
        <w:t> </w:t>
      </w:r>
      <w:r>
        <w:rPr>
          <w:spacing w:val="-2"/>
        </w:rPr>
        <w:t>SOCIEDAD”</w:t>
      </w:r>
    </w:p>
    <w:p>
      <w:pPr>
        <w:pStyle w:val="BodyText"/>
        <w:spacing w:line="360" w:lineRule="auto" w:before="144"/>
        <w:ind w:left="328" w:right="1311"/>
        <w:jc w:val="both"/>
      </w:pPr>
      <w:r>
        <w:rPr>
          <w:b/>
        </w:rPr>
        <w:t>El 12 de marzo se celebró la mesa redonda “Mujer, </w:t>
      </w:r>
      <w:r>
        <w:rPr/>
        <w:t>Trabajo y Sociedad”, un evento organizado por el Colegio Oficial de Químicos de Canarias y la Universidad de La Laguna con motivo del Día Internacional de la Mujer y en el que intervinieron: Raquel Malo, directora general de Protisa y presidenta de la Junta Provincial de ASINCA; Elena Pastor, vicedecana del Grado en Química de la Facultad de Ciencias de la ULL; Dayana Martín, técnico</w:t>
      </w:r>
      <w:r>
        <w:rPr>
          <w:spacing w:val="-4"/>
        </w:rPr>
        <w:t> </w:t>
      </w:r>
      <w:r>
        <w:rPr/>
        <w:t>del</w:t>
      </w:r>
      <w:r>
        <w:rPr>
          <w:spacing w:val="-4"/>
        </w:rPr>
        <w:t> </w:t>
      </w:r>
      <w:r>
        <w:rPr/>
        <w:t>Instituto</w:t>
      </w:r>
      <w:r>
        <w:rPr>
          <w:spacing w:val="-4"/>
        </w:rPr>
        <w:t> </w:t>
      </w:r>
      <w:r>
        <w:rPr/>
        <w:t>Tecnológico</w:t>
      </w:r>
      <w:r>
        <w:rPr>
          <w:spacing w:val="-4"/>
        </w:rPr>
        <w:t> </w:t>
      </w:r>
      <w:r>
        <w:rPr/>
        <w:t>de</w:t>
      </w:r>
      <w:r>
        <w:rPr>
          <w:spacing w:val="-4"/>
        </w:rPr>
        <w:t> </w:t>
      </w:r>
      <w:r>
        <w:rPr/>
        <w:t>Canarias</w:t>
      </w:r>
      <w:r>
        <w:rPr>
          <w:spacing w:val="-2"/>
        </w:rPr>
        <w:t> </w:t>
      </w:r>
      <w:r>
        <w:rPr/>
        <w:t>y</w:t>
      </w:r>
      <w:r>
        <w:rPr>
          <w:spacing w:val="-4"/>
        </w:rPr>
        <w:t> </w:t>
      </w:r>
      <w:r>
        <w:rPr/>
        <w:t>Carmen</w:t>
      </w:r>
      <w:r>
        <w:rPr>
          <w:spacing w:val="-4"/>
        </w:rPr>
        <w:t> </w:t>
      </w:r>
      <w:r>
        <w:rPr/>
        <w:t>Linares,</w:t>
      </w:r>
      <w:r>
        <w:rPr>
          <w:spacing w:val="-4"/>
        </w:rPr>
        <w:t> </w:t>
      </w:r>
      <w:r>
        <w:rPr/>
        <w:t>decana</w:t>
      </w:r>
      <w:r>
        <w:rPr>
          <w:spacing w:val="-4"/>
        </w:rPr>
        <w:t> </w:t>
      </w:r>
      <w:r>
        <w:rPr/>
        <w:t>del</w:t>
      </w:r>
      <w:r>
        <w:rPr>
          <w:spacing w:val="-4"/>
        </w:rPr>
        <w:t> </w:t>
      </w:r>
      <w:r>
        <w:rPr/>
        <w:t>Colegio</w:t>
      </w:r>
      <w:r>
        <w:rPr>
          <w:spacing w:val="-4"/>
        </w:rPr>
        <w:t> </w:t>
      </w:r>
      <w:r>
        <w:rPr/>
        <w:t>Oficial de Psicología de Santa Cruz de Tenerife.</w:t>
      </w:r>
    </w:p>
    <w:p>
      <w:pPr>
        <w:pStyle w:val="BodyText"/>
        <w:spacing w:after="0" w:line="360" w:lineRule="auto"/>
        <w:jc w:val="both"/>
        <w:sectPr>
          <w:pgSz w:w="11900" w:h="16840"/>
          <w:pgMar w:header="0" w:footer="516" w:top="1240" w:bottom="700" w:left="1275" w:right="283"/>
        </w:sectPr>
      </w:pPr>
    </w:p>
    <w:p>
      <w:pPr>
        <w:spacing w:line="240" w:lineRule="auto"/>
        <w:ind w:left="1605" w:right="0" w:firstLine="0"/>
        <w:rPr>
          <w:sz w:val="20"/>
        </w:rPr>
      </w:pPr>
      <w:r>
        <w:rPr>
          <w:sz w:val="20"/>
        </w:rPr>
        <w:drawing>
          <wp:inline distT="0" distB="0" distL="0" distR="0">
            <wp:extent cx="3905728" cy="2974848"/>
            <wp:effectExtent l="0" t="0" r="0" b="0"/>
            <wp:docPr id="11" name="Image 11"/>
            <wp:cNvGraphicFramePr>
              <a:graphicFrameLocks/>
            </wp:cNvGraphicFramePr>
            <a:graphic>
              <a:graphicData uri="http://schemas.openxmlformats.org/drawingml/2006/picture">
                <pic:pic>
                  <pic:nvPicPr>
                    <pic:cNvPr id="11" name="Image 11"/>
                    <pic:cNvPicPr/>
                  </pic:nvPicPr>
                  <pic:blipFill>
                    <a:blip r:embed="rId13" cstate="print"/>
                    <a:stretch>
                      <a:fillRect/>
                    </a:stretch>
                  </pic:blipFill>
                  <pic:spPr>
                    <a:xfrm>
                      <a:off x="0" y="0"/>
                      <a:ext cx="3905728" cy="2974848"/>
                    </a:xfrm>
                    <a:prstGeom prst="rect">
                      <a:avLst/>
                    </a:prstGeom>
                  </pic:spPr>
                </pic:pic>
              </a:graphicData>
            </a:graphic>
          </wp:inline>
        </w:drawing>
      </w:r>
      <w:r>
        <w:rPr>
          <w:sz w:val="20"/>
        </w:rPr>
      </w:r>
    </w:p>
    <w:p>
      <w:pPr>
        <w:pStyle w:val="BodyText"/>
        <w:spacing w:before="237"/>
      </w:pPr>
    </w:p>
    <w:p>
      <w:pPr>
        <w:pStyle w:val="Heading4"/>
        <w:ind w:left="328"/>
      </w:pPr>
      <w:r>
        <w:rPr/>
        <w:t>TOMA DE POSESIÓN DEL RECTOR</w:t>
      </w:r>
      <w:r>
        <w:rPr>
          <w:spacing w:val="-1"/>
        </w:rPr>
        <w:t> </w:t>
      </w:r>
      <w:r>
        <w:rPr/>
        <w:t>DE LA </w:t>
      </w:r>
      <w:r>
        <w:rPr>
          <w:spacing w:val="-2"/>
        </w:rPr>
        <w:t>ULPGC</w:t>
      </w:r>
    </w:p>
    <w:p>
      <w:pPr>
        <w:pStyle w:val="BodyText"/>
        <w:spacing w:line="357" w:lineRule="auto" w:before="125"/>
        <w:ind w:left="328" w:right="1315"/>
        <w:jc w:val="both"/>
      </w:pPr>
      <w:r>
        <w:rPr/>
        <w:t>El Colegio Oficial de Químicos de Canarias estuvo presente en la toma de posesión del rector de la Universidad de Las Palmas de Gran Canaria, Lluís Serra Majem.</w:t>
      </w:r>
    </w:p>
    <w:p>
      <w:pPr>
        <w:pStyle w:val="BodyText"/>
        <w:spacing w:line="360" w:lineRule="auto" w:before="125"/>
        <w:ind w:left="328" w:right="1312"/>
        <w:jc w:val="both"/>
      </w:pPr>
      <w:r>
        <w:rPr/>
        <w:t>Nuestro vicedecano, Michael Ortega, asistió al acto institucional en representación del Colegio, reafirmando nuestro compromiso con la colaboración entre la universidad y nuestra</w:t>
      </w:r>
      <w:r>
        <w:rPr>
          <w:spacing w:val="-1"/>
        </w:rPr>
        <w:t> </w:t>
      </w:r>
      <w:r>
        <w:rPr/>
        <w:t>profesión,</w:t>
      </w:r>
      <w:r>
        <w:rPr>
          <w:spacing w:val="-1"/>
        </w:rPr>
        <w:t> </w:t>
      </w:r>
      <w:r>
        <w:rPr/>
        <w:t>así</w:t>
      </w:r>
      <w:r>
        <w:rPr>
          <w:spacing w:val="-1"/>
        </w:rPr>
        <w:t> </w:t>
      </w:r>
      <w:r>
        <w:rPr/>
        <w:t>como</w:t>
      </w:r>
      <w:r>
        <w:rPr>
          <w:spacing w:val="-1"/>
        </w:rPr>
        <w:t> </w:t>
      </w:r>
      <w:r>
        <w:rPr/>
        <w:t>con</w:t>
      </w:r>
      <w:r>
        <w:rPr>
          <w:spacing w:val="-1"/>
        </w:rPr>
        <w:t> </w:t>
      </w:r>
      <w:r>
        <w:rPr/>
        <w:t>el</w:t>
      </w:r>
      <w:r>
        <w:rPr>
          <w:spacing w:val="-1"/>
        </w:rPr>
        <w:t> </w:t>
      </w:r>
      <w:r>
        <w:rPr/>
        <w:t>impulso</w:t>
      </w:r>
      <w:r>
        <w:rPr>
          <w:spacing w:val="-1"/>
        </w:rPr>
        <w:t> </w:t>
      </w:r>
      <w:r>
        <w:rPr/>
        <w:t>a</w:t>
      </w:r>
      <w:r>
        <w:rPr>
          <w:spacing w:val="-1"/>
        </w:rPr>
        <w:t> </w:t>
      </w:r>
      <w:r>
        <w:rPr/>
        <w:t>la</w:t>
      </w:r>
      <w:r>
        <w:rPr>
          <w:spacing w:val="-1"/>
        </w:rPr>
        <w:t> </w:t>
      </w:r>
      <w:r>
        <w:rPr/>
        <w:t>formación,</w:t>
      </w:r>
      <w:r>
        <w:rPr>
          <w:spacing w:val="-1"/>
        </w:rPr>
        <w:t> </w:t>
      </w:r>
      <w:r>
        <w:rPr/>
        <w:t>la</w:t>
      </w:r>
      <w:r>
        <w:rPr>
          <w:spacing w:val="-1"/>
        </w:rPr>
        <w:t> </w:t>
      </w:r>
      <w:r>
        <w:rPr/>
        <w:t>investigación</w:t>
      </w:r>
      <w:r>
        <w:rPr>
          <w:spacing w:val="-1"/>
        </w:rPr>
        <w:t> </w:t>
      </w:r>
      <w:r>
        <w:rPr/>
        <w:t>y</w:t>
      </w:r>
      <w:r>
        <w:rPr>
          <w:spacing w:val="-1"/>
        </w:rPr>
        <w:t> </w:t>
      </w:r>
      <w:r>
        <w:rPr/>
        <w:t>el</w:t>
      </w:r>
      <w:r>
        <w:rPr>
          <w:spacing w:val="-1"/>
        </w:rPr>
        <w:t> </w:t>
      </w:r>
      <w:r>
        <w:rPr/>
        <w:t>desarrollo </w:t>
      </w:r>
      <w:r>
        <w:rPr>
          <w:spacing w:val="-2"/>
        </w:rPr>
        <w:t>científico.</w:t>
      </w:r>
    </w:p>
    <w:p>
      <w:pPr>
        <w:pStyle w:val="BodyText"/>
        <w:spacing w:before="3"/>
        <w:rPr>
          <w:sz w:val="7"/>
        </w:rPr>
      </w:pPr>
      <w:r>
        <w:rPr>
          <w:sz w:val="7"/>
        </w:rPr>
        <w:drawing>
          <wp:anchor distT="0" distB="0" distL="0" distR="0" allowOverlap="1" layoutInCell="1" locked="0" behindDoc="1" simplePos="0" relativeHeight="487589888">
            <wp:simplePos x="0" y="0"/>
            <wp:positionH relativeFrom="page">
              <wp:posOffset>2139695</wp:posOffset>
            </wp:positionH>
            <wp:positionV relativeFrom="paragraph">
              <wp:posOffset>71629</wp:posOffset>
            </wp:positionV>
            <wp:extent cx="3270504" cy="2249424"/>
            <wp:effectExtent l="0" t="0" r="0" b="0"/>
            <wp:wrapTopAndBottom/>
            <wp:docPr id="12" name="Image 12"/>
            <wp:cNvGraphicFramePr>
              <a:graphicFrameLocks/>
            </wp:cNvGraphicFramePr>
            <a:graphic>
              <a:graphicData uri="http://schemas.openxmlformats.org/drawingml/2006/picture">
                <pic:pic>
                  <pic:nvPicPr>
                    <pic:cNvPr id="12" name="Image 12"/>
                    <pic:cNvPicPr/>
                  </pic:nvPicPr>
                  <pic:blipFill>
                    <a:blip r:embed="rId14" cstate="print"/>
                    <a:stretch>
                      <a:fillRect/>
                    </a:stretch>
                  </pic:blipFill>
                  <pic:spPr>
                    <a:xfrm>
                      <a:off x="0" y="0"/>
                      <a:ext cx="3270504" cy="2249424"/>
                    </a:xfrm>
                    <a:prstGeom prst="rect">
                      <a:avLst/>
                    </a:prstGeom>
                  </pic:spPr>
                </pic:pic>
              </a:graphicData>
            </a:graphic>
          </wp:anchor>
        </w:drawing>
      </w:r>
    </w:p>
    <w:p>
      <w:pPr>
        <w:pStyle w:val="BodyText"/>
        <w:spacing w:before="116"/>
      </w:pPr>
    </w:p>
    <w:p>
      <w:pPr>
        <w:pStyle w:val="Heading4"/>
        <w:spacing w:before="1"/>
        <w:ind w:left="328"/>
      </w:pPr>
      <w:r>
        <w:rPr/>
        <w:t>I JUNTA GENERAL ORDINARIA </w:t>
      </w:r>
      <w:r>
        <w:rPr>
          <w:spacing w:val="-4"/>
        </w:rPr>
        <w:t>2025</w:t>
      </w:r>
    </w:p>
    <w:p>
      <w:pPr>
        <w:pStyle w:val="BodyText"/>
        <w:spacing w:line="360" w:lineRule="auto" w:before="119"/>
        <w:ind w:left="328" w:right="1314"/>
        <w:jc w:val="both"/>
      </w:pPr>
      <w:r>
        <w:rPr/>
        <w:t>El</w:t>
      </w:r>
      <w:r>
        <w:rPr>
          <w:spacing w:val="-7"/>
        </w:rPr>
        <w:t> </w:t>
      </w:r>
      <w:r>
        <w:rPr/>
        <w:t>21</w:t>
      </w:r>
      <w:r>
        <w:rPr>
          <w:spacing w:val="-7"/>
        </w:rPr>
        <w:t> </w:t>
      </w:r>
      <w:r>
        <w:rPr/>
        <w:t>de</w:t>
      </w:r>
      <w:r>
        <w:rPr>
          <w:spacing w:val="-7"/>
        </w:rPr>
        <w:t> </w:t>
      </w:r>
      <w:r>
        <w:rPr/>
        <w:t>febrero</w:t>
      </w:r>
      <w:r>
        <w:rPr>
          <w:spacing w:val="-7"/>
        </w:rPr>
        <w:t> </w:t>
      </w:r>
      <w:r>
        <w:rPr/>
        <w:t>se</w:t>
      </w:r>
      <w:r>
        <w:rPr>
          <w:spacing w:val="-7"/>
        </w:rPr>
        <w:t> </w:t>
      </w:r>
      <w:r>
        <w:rPr/>
        <w:t>celebró</w:t>
      </w:r>
      <w:r>
        <w:rPr>
          <w:spacing w:val="-7"/>
        </w:rPr>
        <w:t> </w:t>
      </w:r>
      <w:r>
        <w:rPr/>
        <w:t>la</w:t>
      </w:r>
      <w:r>
        <w:rPr>
          <w:spacing w:val="-7"/>
        </w:rPr>
        <w:t> </w:t>
      </w:r>
      <w:r>
        <w:rPr/>
        <w:t>Junta</w:t>
      </w:r>
      <w:r>
        <w:rPr>
          <w:spacing w:val="-7"/>
        </w:rPr>
        <w:t> </w:t>
      </w:r>
      <w:r>
        <w:rPr/>
        <w:t>General</w:t>
      </w:r>
      <w:r>
        <w:rPr>
          <w:spacing w:val="-7"/>
        </w:rPr>
        <w:t> </w:t>
      </w:r>
      <w:r>
        <w:rPr/>
        <w:t>Ordinaria</w:t>
      </w:r>
      <w:r>
        <w:rPr>
          <w:spacing w:val="-7"/>
        </w:rPr>
        <w:t> </w:t>
      </w:r>
      <w:r>
        <w:rPr/>
        <w:t>del</w:t>
      </w:r>
      <w:r>
        <w:rPr>
          <w:spacing w:val="-7"/>
        </w:rPr>
        <w:t> </w:t>
      </w:r>
      <w:r>
        <w:rPr/>
        <w:t>Colegio,</w:t>
      </w:r>
      <w:r>
        <w:rPr>
          <w:spacing w:val="-7"/>
        </w:rPr>
        <w:t> </w:t>
      </w:r>
      <w:r>
        <w:rPr/>
        <w:t>en</w:t>
      </w:r>
      <w:r>
        <w:rPr>
          <w:spacing w:val="-7"/>
        </w:rPr>
        <w:t> </w:t>
      </w:r>
      <w:r>
        <w:rPr/>
        <w:t>la</w:t>
      </w:r>
      <w:r>
        <w:rPr>
          <w:spacing w:val="-7"/>
        </w:rPr>
        <w:t> </w:t>
      </w:r>
      <w:r>
        <w:rPr/>
        <w:t>que</w:t>
      </w:r>
      <w:r>
        <w:rPr>
          <w:spacing w:val="-7"/>
        </w:rPr>
        <w:t> </w:t>
      </w:r>
      <w:r>
        <w:rPr/>
        <w:t>se</w:t>
      </w:r>
      <w:r>
        <w:rPr>
          <w:spacing w:val="-7"/>
        </w:rPr>
        <w:t> </w:t>
      </w:r>
      <w:r>
        <w:rPr/>
        <w:t>presentó</w:t>
      </w:r>
      <w:r>
        <w:rPr>
          <w:spacing w:val="-7"/>
        </w:rPr>
        <w:t> </w:t>
      </w:r>
      <w:r>
        <w:rPr/>
        <w:t>el balance de gestión y se expusieron las principales líneas estratégicas del ejercicio. Este órgano constituye el principal espacio de rendición de cuentas y participación colegial.</w:t>
      </w:r>
    </w:p>
    <w:p>
      <w:pPr>
        <w:pStyle w:val="BodyText"/>
        <w:spacing w:after="0" w:line="360" w:lineRule="auto"/>
        <w:jc w:val="both"/>
        <w:sectPr>
          <w:pgSz w:w="11900" w:h="16840"/>
          <w:pgMar w:header="0" w:footer="516" w:top="1780" w:bottom="700" w:left="1275" w:right="283"/>
        </w:sectPr>
      </w:pPr>
    </w:p>
    <w:p>
      <w:pPr>
        <w:pStyle w:val="Heading4"/>
        <w:spacing w:before="81"/>
        <w:ind w:left="328"/>
      </w:pPr>
      <w:r>
        <w:rPr/>
        <w:t>II MINIOLIMPIADA CANARIA DE </w:t>
      </w:r>
      <w:r>
        <w:rPr>
          <w:spacing w:val="-2"/>
        </w:rPr>
        <w:t>QUÍMICA</w:t>
      </w:r>
    </w:p>
    <w:p>
      <w:pPr>
        <w:pStyle w:val="BodyText"/>
        <w:spacing w:line="360" w:lineRule="auto" w:before="148"/>
        <w:ind w:left="328" w:right="1312"/>
        <w:jc w:val="both"/>
      </w:pPr>
      <w:r>
        <w:rPr/>
        <w:t>El 4 de febrero dio comienzo la II Miniolimpiada Canaria de Química con la participación de la Comisión de Enseñanza del Colegio. Esta segunda edición consolidó una iniciativa estratégica orientada a fomentar vocaciones científicas entre el alumnado preuniversitario, fortaleciendo la presencia de la Química en el entorno educativo del </w:t>
      </w:r>
      <w:r>
        <w:rPr>
          <w:spacing w:val="-2"/>
        </w:rPr>
        <w:t>Archipiélago.</w:t>
      </w:r>
    </w:p>
    <w:p>
      <w:pPr>
        <w:pStyle w:val="BodyText"/>
        <w:spacing w:before="212"/>
      </w:pPr>
    </w:p>
    <w:p>
      <w:pPr>
        <w:pStyle w:val="Heading4"/>
        <w:spacing w:before="1"/>
        <w:ind w:left="328"/>
      </w:pPr>
      <w:r>
        <w:rPr/>
        <w:t>DE LA ALQUIMIA A LA CIENCIA </w:t>
      </w:r>
      <w:r>
        <w:rPr>
          <w:spacing w:val="-2"/>
        </w:rPr>
        <w:t>MODERNA</w:t>
      </w:r>
    </w:p>
    <w:p>
      <w:pPr>
        <w:pStyle w:val="BodyText"/>
        <w:spacing w:before="18"/>
        <w:rPr>
          <w:b/>
        </w:rPr>
      </w:pPr>
    </w:p>
    <w:p>
      <w:pPr>
        <w:pStyle w:val="BodyText"/>
        <w:spacing w:line="360" w:lineRule="auto"/>
        <w:ind w:left="328" w:right="1432"/>
      </w:pPr>
      <w:r>
        <w:rPr>
          <w:spacing w:val="-1"/>
        </w:rPr>
        <w:t>Publicació</w:t>
      </w:r>
      <w:r>
        <w:rPr/>
        <w:t>n</w:t>
      </w:r>
      <w:r>
        <w:rPr>
          <w:spacing w:val="22"/>
        </w:rPr>
        <w:t> </w:t>
      </w:r>
      <w:r>
        <w:rPr>
          <w:spacing w:val="-1"/>
        </w:rPr>
        <w:t>de</w:t>
      </w:r>
      <w:r>
        <w:rPr/>
        <w:t>l</w:t>
      </w:r>
      <w:r>
        <w:rPr>
          <w:spacing w:val="22"/>
        </w:rPr>
        <w:t> </w:t>
      </w:r>
      <w:r>
        <w:rPr>
          <w:spacing w:val="-1"/>
        </w:rPr>
        <w:t>artícul</w:t>
      </w:r>
      <w:r>
        <w:rPr/>
        <w:t>o</w:t>
      </w:r>
      <w:r>
        <w:rPr>
          <w:spacing w:val="22"/>
        </w:rPr>
        <w:t> </w:t>
      </w:r>
      <w:r>
        <w:rPr/>
        <w:t>“De</w:t>
      </w:r>
      <w:r>
        <w:rPr>
          <w:spacing w:val="22"/>
        </w:rPr>
        <w:t> </w:t>
      </w:r>
      <w:r>
        <w:rPr/>
        <w:t>la</w:t>
      </w:r>
      <w:r>
        <w:rPr>
          <w:spacing w:val="22"/>
        </w:rPr>
        <w:t> </w:t>
      </w:r>
      <w:r>
        <w:rPr/>
        <w:t>alquimia</w:t>
      </w:r>
      <w:r>
        <w:rPr>
          <w:spacing w:val="22"/>
        </w:rPr>
        <w:t> </w:t>
      </w:r>
      <w:r>
        <w:rPr/>
        <w:t>a</w:t>
      </w:r>
      <w:r>
        <w:rPr>
          <w:spacing w:val="22"/>
        </w:rPr>
        <w:t> </w:t>
      </w:r>
      <w:r>
        <w:rPr/>
        <w:t>la</w:t>
      </w:r>
      <w:r>
        <w:rPr>
          <w:spacing w:val="22"/>
        </w:rPr>
        <w:t> </w:t>
      </w:r>
      <w:r>
        <w:rPr/>
        <w:t>ciencia</w:t>
      </w:r>
      <w:r>
        <w:rPr>
          <w:spacing w:val="22"/>
        </w:rPr>
        <w:t> </w:t>
      </w:r>
      <w:r>
        <w:rPr>
          <w:spacing w:val="-1"/>
        </w:rPr>
        <w:t>moderna</w:t>
      </w:r>
      <w:r>
        <w:rPr/>
        <w:t>”</w:t>
      </w:r>
      <w:r>
        <w:rPr>
          <w:spacing w:val="22"/>
        </w:rPr>
        <w:t> </w:t>
      </w:r>
      <w:r>
        <w:rPr/>
        <w:t>de</w:t>
      </w:r>
      <w:r>
        <w:rPr>
          <w:spacing w:val="22"/>
        </w:rPr>
        <w:t> </w:t>
      </w:r>
      <w:r>
        <w:rPr>
          <w:spacing w:val="-1"/>
        </w:rPr>
        <w:t>nuestr</w:t>
      </w:r>
      <w:r>
        <w:rPr/>
        <w:t>o</w:t>
      </w:r>
      <w:r>
        <w:rPr>
          <w:spacing w:val="22"/>
        </w:rPr>
        <w:t> </w:t>
      </w:r>
      <w:r>
        <w:rPr/>
        <w:t>compañero, </w:t>
      </w:r>
      <w:r>
        <w:rPr>
          <w:spacing w:val="-1"/>
        </w:rPr>
        <w:t>Iñig</w:t>
      </w:r>
      <w:r>
        <w:rPr/>
        <w:t>o</w:t>
      </w:r>
      <w:r>
        <w:rPr>
          <w:spacing w:val="-1"/>
        </w:rPr>
        <w:t> </w:t>
      </w:r>
      <w:r>
        <w:rPr/>
        <w:t>Jáudenes,</w:t>
      </w:r>
      <w:r>
        <w:rPr>
          <w:spacing w:val="-1"/>
        </w:rPr>
        <w:t> e</w:t>
      </w:r>
      <w:r>
        <w:rPr/>
        <w:t>n</w:t>
      </w:r>
      <w:r>
        <w:rPr>
          <w:spacing w:val="-1"/>
        </w:rPr>
        <w:t> </w:t>
      </w:r>
      <w:r>
        <w:rPr/>
        <w:t>la</w:t>
      </w:r>
      <w:r>
        <w:rPr>
          <w:spacing w:val="-1"/>
        </w:rPr>
        <w:t> </w:t>
      </w:r>
      <w:r>
        <w:rPr/>
        <w:t>revista</w:t>
      </w:r>
      <w:r>
        <w:rPr>
          <w:spacing w:val="-1"/>
        </w:rPr>
        <w:t> Hipótesi</w:t>
      </w:r>
      <w:r>
        <w:rPr/>
        <w:t>s</w:t>
      </w:r>
      <w:r>
        <w:rPr>
          <w:spacing w:val="-1"/>
        </w:rPr>
        <w:t> </w:t>
      </w:r>
      <w:r>
        <w:rPr/>
        <w:t>de </w:t>
      </w:r>
      <w:r>
        <w:rPr>
          <w:spacing w:val="-1"/>
        </w:rPr>
        <w:t>Cienciaull. </w:t>
      </w:r>
      <w:hyperlink r:id="rId15">
        <w:r>
          <w:rPr>
            <w:color w:val="467886"/>
            <w:u w:val="single" w:color="467886"/>
          </w:rPr>
          <w:t>https://www.ull.es/portal/hipotesis/de</w:t>
        </w:r>
        <w:r>
          <w:rPr>
            <w:color w:val="467886"/>
            <w:spacing w:val="-1"/>
            <w:u w:val="single" w:color="467886"/>
          </w:rPr>
          <w:t>-</w:t>
        </w:r>
        <w:r>
          <w:rPr>
            <w:color w:val="467886"/>
            <w:u w:val="single" w:color="467886"/>
          </w:rPr>
          <w:t>l</w:t>
        </w:r>
        <w:r>
          <w:rPr>
            <w:color w:val="467886"/>
            <w:spacing w:val="-5"/>
            <w:u w:val="single" w:color="467886"/>
          </w:rPr>
          <w:t>a</w:t>
        </w:r>
        <w:r>
          <w:rPr>
            <w:color w:val="467886"/>
            <w:spacing w:val="-1"/>
            <w:u w:val="single" w:color="467886"/>
          </w:rPr>
          <w:t>-</w:t>
        </w:r>
        <w:r>
          <w:rPr>
            <w:color w:val="467886"/>
            <w:u w:val="single" w:color="467886"/>
          </w:rPr>
          <w:t>alquimia</w:t>
        </w:r>
        <w:r>
          <w:rPr>
            <w:color w:val="467886"/>
            <w:spacing w:val="-1"/>
            <w:u w:val="single" w:color="467886"/>
          </w:rPr>
          <w:t>-</w:t>
        </w:r>
        <w:r>
          <w:rPr>
            <w:color w:val="467886"/>
            <w:u w:val="single" w:color="467886"/>
          </w:rPr>
          <w:t>a</w:t>
        </w:r>
        <w:r>
          <w:rPr>
            <w:color w:val="467886"/>
            <w:spacing w:val="-1"/>
            <w:u w:val="single" w:color="467886"/>
          </w:rPr>
          <w:t>-</w:t>
        </w:r>
        <w:r>
          <w:rPr>
            <w:color w:val="467886"/>
            <w:u w:val="single" w:color="467886"/>
          </w:rPr>
          <w:t>l</w:t>
        </w:r>
        <w:r>
          <w:rPr>
            <w:color w:val="467886"/>
            <w:spacing w:val="-1"/>
            <w:u w:val="single" w:color="467886"/>
          </w:rPr>
          <w:t>a-c</w:t>
        </w:r>
        <w:r>
          <w:rPr>
            <w:color w:val="467886"/>
            <w:u w:val="single" w:color="467886"/>
          </w:rPr>
          <w:t>i</w:t>
        </w:r>
        <w:r>
          <w:rPr>
            <w:color w:val="467886"/>
            <w:spacing w:val="-1"/>
            <w:u w:val="single" w:color="467886"/>
          </w:rPr>
          <w:t>e</w:t>
        </w:r>
        <w:r>
          <w:rPr>
            <w:color w:val="467886"/>
            <w:u w:val="single" w:color="467886"/>
          </w:rPr>
          <w:t>n</w:t>
        </w:r>
        <w:r>
          <w:rPr>
            <w:color w:val="467886"/>
            <w:spacing w:val="-1"/>
            <w:u w:val="single" w:color="467886"/>
          </w:rPr>
          <w:t>c</w:t>
        </w:r>
        <w:r>
          <w:rPr>
            <w:color w:val="467886"/>
            <w:u w:val="single" w:color="467886"/>
          </w:rPr>
          <w:t>ia</w:t>
        </w:r>
        <w:r>
          <w:rPr>
            <w:color w:val="467886"/>
            <w:spacing w:val="-1"/>
            <w:u w:val="single" w:color="467886"/>
          </w:rPr>
          <w:t>-m</w:t>
        </w:r>
        <w:r>
          <w:rPr>
            <w:color w:val="467886"/>
            <w:u w:val="single" w:color="467886"/>
          </w:rPr>
          <w:t>od</w:t>
        </w:r>
        <w:r>
          <w:rPr>
            <w:color w:val="467886"/>
            <w:spacing w:val="-1"/>
            <w:u w:val="single" w:color="467886"/>
          </w:rPr>
          <w:t>er</w:t>
        </w:r>
        <w:r>
          <w:rPr>
            <w:color w:val="467886"/>
            <w:u w:val="single" w:color="467886"/>
          </w:rPr>
          <w:t>na</w:t>
        </w:r>
        <w:r>
          <w:rPr>
            <w:color w:val="467886"/>
            <w:spacing w:val="-1"/>
            <w:u w:val="single" w:color="467886"/>
          </w:rPr>
          <w:t>-</w:t>
        </w:r>
        <w:r>
          <w:rPr>
            <w:color w:val="467886"/>
            <w:u w:val="single" w:color="467886"/>
          </w:rPr>
          <w:t>una-</w:t>
        </w:r>
      </w:hyperlink>
      <w:r>
        <w:rPr>
          <w:color w:val="467886"/>
          <w:spacing w:val="-1"/>
          <w:u w:val="single" w:color="467886"/>
        </w:rPr>
        <w:t>ev</w:t>
      </w:r>
      <w:r>
        <w:rPr>
          <w:color w:val="467886"/>
          <w:u w:val="single" w:color="467886"/>
        </w:rPr>
        <w:t>olu</w:t>
      </w:r>
      <w:r>
        <w:rPr>
          <w:color w:val="467886"/>
          <w:spacing w:val="-1"/>
          <w:u w:val="single" w:color="467886"/>
        </w:rPr>
        <w:t>c</w:t>
      </w:r>
      <w:r>
        <w:rPr>
          <w:color w:val="467886"/>
          <w:u w:val="single" w:color="467886"/>
        </w:rPr>
        <w:t>ion/</w:t>
      </w:r>
    </w:p>
    <w:p>
      <w:pPr>
        <w:pStyle w:val="BodyText"/>
        <w:spacing w:before="263"/>
      </w:pPr>
    </w:p>
    <w:p>
      <w:pPr>
        <w:pStyle w:val="Heading4"/>
        <w:ind w:left="328"/>
      </w:pPr>
      <w:r>
        <w:rPr/>
        <w:t>COLABORACIÓN</w:t>
      </w:r>
      <w:r>
        <w:rPr>
          <w:spacing w:val="-1"/>
        </w:rPr>
        <w:t> </w:t>
      </w:r>
      <w:r>
        <w:rPr/>
        <w:t>EN LA OLIMPIADA DE QUÍMICA DE </w:t>
      </w:r>
      <w:r>
        <w:rPr>
          <w:spacing w:val="-2"/>
        </w:rPr>
        <w:t>CANARIAS</w:t>
      </w:r>
    </w:p>
    <w:p>
      <w:pPr>
        <w:pStyle w:val="BodyText"/>
        <w:spacing w:line="360" w:lineRule="auto" w:before="149"/>
        <w:ind w:left="328" w:right="1313"/>
        <w:jc w:val="both"/>
      </w:pPr>
      <w:r>
        <w:rPr/>
        <w:t>Los representantes del Colegio Oficial de Químicos de Canarias asistieron a la entrega de premios del certamen organizado por la Sección Territorial Canaria de la Real Sociedad Española de Química.</w:t>
      </w:r>
    </w:p>
    <w:p>
      <w:pPr>
        <w:pStyle w:val="BodyText"/>
        <w:spacing w:before="187"/>
        <w:rPr>
          <w:sz w:val="20"/>
        </w:rPr>
      </w:pPr>
      <w:r>
        <w:rPr>
          <w:sz w:val="20"/>
        </w:rPr>
        <w:drawing>
          <wp:anchor distT="0" distB="0" distL="0" distR="0" allowOverlap="1" layoutInCell="1" locked="0" behindDoc="1" simplePos="0" relativeHeight="487590400">
            <wp:simplePos x="0" y="0"/>
            <wp:positionH relativeFrom="page">
              <wp:posOffset>1569719</wp:posOffset>
            </wp:positionH>
            <wp:positionV relativeFrom="paragraph">
              <wp:posOffset>289014</wp:posOffset>
            </wp:positionV>
            <wp:extent cx="4270248" cy="2916936"/>
            <wp:effectExtent l="0" t="0" r="0" b="0"/>
            <wp:wrapTopAndBottom/>
            <wp:docPr id="13" name="Image 13"/>
            <wp:cNvGraphicFramePr>
              <a:graphicFrameLocks/>
            </wp:cNvGraphicFramePr>
            <a:graphic>
              <a:graphicData uri="http://schemas.openxmlformats.org/drawingml/2006/picture">
                <pic:pic>
                  <pic:nvPicPr>
                    <pic:cNvPr id="13" name="Image 13"/>
                    <pic:cNvPicPr/>
                  </pic:nvPicPr>
                  <pic:blipFill>
                    <a:blip r:embed="rId16" cstate="print"/>
                    <a:stretch>
                      <a:fillRect/>
                    </a:stretch>
                  </pic:blipFill>
                  <pic:spPr>
                    <a:xfrm>
                      <a:off x="0" y="0"/>
                      <a:ext cx="4270248" cy="2916936"/>
                    </a:xfrm>
                    <a:prstGeom prst="rect">
                      <a:avLst/>
                    </a:prstGeom>
                  </pic:spPr>
                </pic:pic>
              </a:graphicData>
            </a:graphic>
          </wp:anchor>
        </w:drawing>
      </w:r>
    </w:p>
    <w:p>
      <w:pPr>
        <w:pStyle w:val="BodyText"/>
        <w:spacing w:after="0"/>
        <w:rPr>
          <w:sz w:val="20"/>
        </w:rPr>
        <w:sectPr>
          <w:pgSz w:w="11900" w:h="16840"/>
          <w:pgMar w:header="0" w:footer="516" w:top="1260" w:bottom="700" w:left="1275" w:right="283"/>
        </w:sectPr>
      </w:pPr>
    </w:p>
    <w:p>
      <w:pPr>
        <w:pStyle w:val="Heading4"/>
        <w:spacing w:before="76"/>
        <w:ind w:left="126"/>
      </w:pPr>
      <w:r>
        <w:rPr/>
        <w:t>PARTICIPACIÓN</w:t>
      </w:r>
      <w:r>
        <w:rPr>
          <w:spacing w:val="-2"/>
        </w:rPr>
        <w:t> </w:t>
      </w:r>
      <w:r>
        <w:rPr/>
        <w:t>EN</w:t>
      </w:r>
      <w:r>
        <w:rPr>
          <w:spacing w:val="-1"/>
        </w:rPr>
        <w:t> </w:t>
      </w:r>
      <w:r>
        <w:rPr/>
        <w:t>ENCUENTRO</w:t>
      </w:r>
      <w:r>
        <w:rPr>
          <w:spacing w:val="-2"/>
        </w:rPr>
        <w:t> </w:t>
      </w:r>
      <w:r>
        <w:rPr/>
        <w:t>DE</w:t>
      </w:r>
      <w:r>
        <w:rPr>
          <w:spacing w:val="-1"/>
        </w:rPr>
        <w:t> </w:t>
      </w:r>
      <w:r>
        <w:rPr/>
        <w:t>EGRESADOS</w:t>
      </w:r>
      <w:r>
        <w:rPr>
          <w:spacing w:val="-1"/>
        </w:rPr>
        <w:t> </w:t>
      </w:r>
      <w:r>
        <w:rPr/>
        <w:t>DE</w:t>
      </w:r>
      <w:r>
        <w:rPr>
          <w:spacing w:val="-1"/>
        </w:rPr>
        <w:t> </w:t>
      </w:r>
      <w:r>
        <w:rPr/>
        <w:t>LA</w:t>
      </w:r>
      <w:r>
        <w:rPr>
          <w:spacing w:val="-1"/>
        </w:rPr>
        <w:t> </w:t>
      </w:r>
      <w:r>
        <w:rPr>
          <w:spacing w:val="-5"/>
        </w:rPr>
        <w:t>ULL</w:t>
      </w:r>
    </w:p>
    <w:p>
      <w:pPr>
        <w:pStyle w:val="BodyText"/>
        <w:spacing w:line="360" w:lineRule="auto" w:before="269"/>
        <w:ind w:left="126" w:right="1431"/>
        <w:jc w:val="both"/>
      </w:pPr>
      <w:r>
        <w:rPr/>
        <w:drawing>
          <wp:anchor distT="0" distB="0" distL="0" distR="0" allowOverlap="1" layoutInCell="1" locked="0" behindDoc="0" simplePos="0" relativeHeight="15732224">
            <wp:simplePos x="0" y="0"/>
            <wp:positionH relativeFrom="page">
              <wp:posOffset>1691639</wp:posOffset>
            </wp:positionH>
            <wp:positionV relativeFrom="paragraph">
              <wp:posOffset>1211980</wp:posOffset>
            </wp:positionV>
            <wp:extent cx="3886200" cy="2965704"/>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7" cstate="print"/>
                    <a:stretch>
                      <a:fillRect/>
                    </a:stretch>
                  </pic:blipFill>
                  <pic:spPr>
                    <a:xfrm>
                      <a:off x="0" y="0"/>
                      <a:ext cx="3886200" cy="2965704"/>
                    </a:xfrm>
                    <a:prstGeom prst="rect">
                      <a:avLst/>
                    </a:prstGeom>
                  </pic:spPr>
                </pic:pic>
              </a:graphicData>
            </a:graphic>
          </wp:anchor>
        </w:drawing>
      </w:r>
      <w:r>
        <w:rPr/>
        <w:t>El 20 de marzo, la Decana participó como ponente en el Encuentro de Egresados de la Universidad</w:t>
      </w:r>
      <w:r>
        <w:rPr>
          <w:spacing w:val="-1"/>
        </w:rPr>
        <w:t> </w:t>
      </w:r>
      <w:r>
        <w:rPr/>
        <w:t>de</w:t>
      </w:r>
      <w:r>
        <w:rPr>
          <w:spacing w:val="-1"/>
        </w:rPr>
        <w:t> </w:t>
      </w:r>
      <w:r>
        <w:rPr/>
        <w:t>La</w:t>
      </w:r>
      <w:r>
        <w:rPr>
          <w:spacing w:val="-1"/>
        </w:rPr>
        <w:t> </w:t>
      </w:r>
      <w:r>
        <w:rPr/>
        <w:t>Laguna,</w:t>
      </w:r>
      <w:r>
        <w:rPr>
          <w:spacing w:val="-1"/>
        </w:rPr>
        <w:t> </w:t>
      </w:r>
      <w:r>
        <w:rPr/>
        <w:t>compartiendo</w:t>
      </w:r>
      <w:r>
        <w:rPr>
          <w:spacing w:val="-1"/>
        </w:rPr>
        <w:t> </w:t>
      </w:r>
      <w:r>
        <w:rPr/>
        <w:t>una</w:t>
      </w:r>
      <w:r>
        <w:rPr>
          <w:spacing w:val="-1"/>
        </w:rPr>
        <w:t> </w:t>
      </w:r>
      <w:r>
        <w:rPr/>
        <w:t>reflexión</w:t>
      </w:r>
      <w:r>
        <w:rPr>
          <w:spacing w:val="-1"/>
        </w:rPr>
        <w:t> </w:t>
      </w:r>
      <w:r>
        <w:rPr/>
        <w:t>sobre</w:t>
      </w:r>
      <w:r>
        <w:rPr>
          <w:spacing w:val="-1"/>
        </w:rPr>
        <w:t> </w:t>
      </w:r>
      <w:r>
        <w:rPr/>
        <w:t>los</w:t>
      </w:r>
      <w:r>
        <w:rPr>
          <w:spacing w:val="-1"/>
        </w:rPr>
        <w:t> </w:t>
      </w:r>
      <w:r>
        <w:rPr/>
        <w:t>retos</w:t>
      </w:r>
      <w:r>
        <w:rPr>
          <w:spacing w:val="-1"/>
        </w:rPr>
        <w:t> </w:t>
      </w:r>
      <w:r>
        <w:rPr/>
        <w:t>y</w:t>
      </w:r>
      <w:r>
        <w:rPr>
          <w:spacing w:val="-1"/>
        </w:rPr>
        <w:t> </w:t>
      </w:r>
      <w:r>
        <w:rPr/>
        <w:t>oportunidades</w:t>
      </w:r>
      <w:r>
        <w:rPr>
          <w:spacing w:val="-1"/>
        </w:rPr>
        <w:t> </w:t>
      </w:r>
      <w:r>
        <w:rPr/>
        <w:t>de la profesión química en Canarias y reforzando el vínculo entre universidad y ejercicio </w:t>
      </w:r>
      <w:r>
        <w:rPr>
          <w:spacing w:val="-2"/>
        </w:rPr>
        <w:t>profesional.</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4"/>
      </w:pPr>
    </w:p>
    <w:p>
      <w:pPr>
        <w:pStyle w:val="Heading4"/>
        <w:spacing w:before="1"/>
        <w:ind w:left="126"/>
      </w:pPr>
      <w:r>
        <w:rPr/>
        <w:t>DÍA</w:t>
      </w:r>
      <w:r>
        <w:rPr>
          <w:spacing w:val="-2"/>
        </w:rPr>
        <w:t> </w:t>
      </w:r>
      <w:r>
        <w:rPr/>
        <w:t>INSTITUCIONAL</w:t>
      </w:r>
      <w:r>
        <w:rPr>
          <w:spacing w:val="-1"/>
        </w:rPr>
        <w:t> </w:t>
      </w:r>
      <w:r>
        <w:rPr/>
        <w:t>DE</w:t>
      </w:r>
      <w:r>
        <w:rPr>
          <w:spacing w:val="-2"/>
        </w:rPr>
        <w:t> </w:t>
      </w:r>
      <w:r>
        <w:rPr/>
        <w:t>LA</w:t>
      </w:r>
      <w:r>
        <w:rPr>
          <w:spacing w:val="-1"/>
        </w:rPr>
        <w:t> </w:t>
      </w:r>
      <w:r>
        <w:rPr/>
        <w:t>UNIVERSIDAD</w:t>
      </w:r>
      <w:r>
        <w:rPr>
          <w:spacing w:val="-3"/>
        </w:rPr>
        <w:t> </w:t>
      </w:r>
      <w:r>
        <w:rPr/>
        <w:t>DE</w:t>
      </w:r>
      <w:r>
        <w:rPr>
          <w:spacing w:val="-1"/>
        </w:rPr>
        <w:t> </w:t>
      </w:r>
      <w:r>
        <w:rPr/>
        <w:t>LA</w:t>
      </w:r>
      <w:r>
        <w:rPr>
          <w:spacing w:val="-1"/>
        </w:rPr>
        <w:t> </w:t>
      </w:r>
      <w:r>
        <w:rPr>
          <w:spacing w:val="-2"/>
        </w:rPr>
        <w:t>LAGUNA</w:t>
      </w:r>
    </w:p>
    <w:p>
      <w:pPr>
        <w:pStyle w:val="BodyText"/>
        <w:spacing w:before="17"/>
        <w:rPr>
          <w:b/>
          <w:sz w:val="20"/>
        </w:rPr>
      </w:pPr>
      <w:r>
        <w:rPr>
          <w:b/>
          <w:sz w:val="20"/>
        </w:rPr>
        <w:drawing>
          <wp:anchor distT="0" distB="0" distL="0" distR="0" allowOverlap="1" layoutInCell="1" locked="0" behindDoc="1" simplePos="0" relativeHeight="487590912">
            <wp:simplePos x="0" y="0"/>
            <wp:positionH relativeFrom="page">
              <wp:posOffset>1557527</wp:posOffset>
            </wp:positionH>
            <wp:positionV relativeFrom="paragraph">
              <wp:posOffset>181064</wp:posOffset>
            </wp:positionV>
            <wp:extent cx="4431792" cy="3377184"/>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8" cstate="print"/>
                    <a:stretch>
                      <a:fillRect/>
                    </a:stretch>
                  </pic:blipFill>
                  <pic:spPr>
                    <a:xfrm>
                      <a:off x="0" y="0"/>
                      <a:ext cx="4431792" cy="3377184"/>
                    </a:xfrm>
                    <a:prstGeom prst="rect">
                      <a:avLst/>
                    </a:prstGeom>
                  </pic:spPr>
                </pic:pic>
              </a:graphicData>
            </a:graphic>
          </wp:anchor>
        </w:drawing>
      </w:r>
    </w:p>
    <w:p>
      <w:pPr>
        <w:pStyle w:val="BodyText"/>
        <w:spacing w:after="0"/>
        <w:rPr>
          <w:b/>
          <w:sz w:val="20"/>
        </w:rPr>
        <w:sectPr>
          <w:pgSz w:w="11900" w:h="16840"/>
          <w:pgMar w:header="0" w:footer="516" w:top="1380" w:bottom="700" w:left="1275" w:right="283"/>
        </w:sectPr>
      </w:pPr>
    </w:p>
    <w:p>
      <w:pPr>
        <w:pStyle w:val="BodyText"/>
        <w:spacing w:line="360" w:lineRule="auto" w:before="81"/>
        <w:ind w:left="165" w:right="636"/>
        <w:jc w:val="both"/>
      </w:pPr>
      <w:r>
        <w:rPr/>
        <w:t>Un</w:t>
      </w:r>
      <w:r>
        <w:rPr>
          <w:spacing w:val="-14"/>
        </w:rPr>
        <w:t> </w:t>
      </w:r>
      <w:r>
        <w:rPr/>
        <w:t>año</w:t>
      </w:r>
      <w:r>
        <w:rPr>
          <w:spacing w:val="-14"/>
        </w:rPr>
        <w:t> </w:t>
      </w:r>
      <w:r>
        <w:rPr/>
        <w:t>más</w:t>
      </w:r>
      <w:r>
        <w:rPr>
          <w:spacing w:val="-13"/>
        </w:rPr>
        <w:t> </w:t>
      </w:r>
      <w:r>
        <w:rPr/>
        <w:t>nuestro</w:t>
      </w:r>
      <w:r>
        <w:rPr>
          <w:spacing w:val="-14"/>
        </w:rPr>
        <w:t> </w:t>
      </w:r>
      <w:r>
        <w:rPr/>
        <w:t>Colegio</w:t>
      </w:r>
      <w:r>
        <w:rPr>
          <w:spacing w:val="-13"/>
        </w:rPr>
        <w:t> </w:t>
      </w:r>
      <w:r>
        <w:rPr/>
        <w:t>estuvo</w:t>
      </w:r>
      <w:r>
        <w:rPr>
          <w:spacing w:val="-14"/>
        </w:rPr>
        <w:t> </w:t>
      </w:r>
      <w:r>
        <w:rPr/>
        <w:t>presente</w:t>
      </w:r>
      <w:r>
        <w:rPr>
          <w:spacing w:val="-13"/>
        </w:rPr>
        <w:t> </w:t>
      </w:r>
      <w:r>
        <w:rPr/>
        <w:t>en</w:t>
      </w:r>
      <w:r>
        <w:rPr>
          <w:spacing w:val="-14"/>
        </w:rPr>
        <w:t> </w:t>
      </w:r>
      <w:r>
        <w:rPr/>
        <w:t>el</w:t>
      </w:r>
      <w:r>
        <w:rPr>
          <w:spacing w:val="-14"/>
        </w:rPr>
        <w:t> </w:t>
      </w:r>
      <w:r>
        <w:rPr/>
        <w:t>Acto</w:t>
      </w:r>
      <w:r>
        <w:rPr>
          <w:spacing w:val="-13"/>
        </w:rPr>
        <w:t> </w:t>
      </w:r>
      <w:r>
        <w:rPr/>
        <w:t>Institucional</w:t>
      </w:r>
      <w:r>
        <w:rPr>
          <w:spacing w:val="-14"/>
        </w:rPr>
        <w:t> </w:t>
      </w:r>
      <w:r>
        <w:rPr/>
        <w:t>de</w:t>
      </w:r>
      <w:r>
        <w:rPr>
          <w:spacing w:val="-13"/>
        </w:rPr>
        <w:t> </w:t>
      </w:r>
      <w:r>
        <w:rPr/>
        <w:t>la</w:t>
      </w:r>
      <w:r>
        <w:rPr>
          <w:spacing w:val="-14"/>
        </w:rPr>
        <w:t> </w:t>
      </w:r>
      <w:r>
        <w:rPr/>
        <w:t>Universidad</w:t>
      </w:r>
      <w:r>
        <w:rPr>
          <w:spacing w:val="-13"/>
        </w:rPr>
        <w:t> </w:t>
      </w:r>
      <w:r>
        <w:rPr/>
        <w:t>de</w:t>
      </w:r>
      <w:r>
        <w:rPr>
          <w:spacing w:val="-14"/>
        </w:rPr>
        <w:t> </w:t>
      </w:r>
      <w:r>
        <w:rPr/>
        <w:t>La</w:t>
      </w:r>
      <w:r>
        <w:rPr>
          <w:spacing w:val="-14"/>
        </w:rPr>
        <w:t> </w:t>
      </w:r>
      <w:r>
        <w:rPr/>
        <w:t>Laguna (ULL). Durante este acto se dio entrega de los premios y distinciones otorgados tanto por la Universidad de La Laguna como por la Asociación Alumni ULL.</w:t>
      </w:r>
    </w:p>
    <w:p>
      <w:pPr>
        <w:pStyle w:val="BodyText"/>
        <w:spacing w:line="357" w:lineRule="auto" w:before="1"/>
        <w:ind w:left="165" w:right="632"/>
        <w:jc w:val="both"/>
      </w:pPr>
      <w:r>
        <w:rPr/>
        <w:t>El número de galardonados fue extenso, investigadores, profesionales, estudiantes y empresas cuyos méritos, esfuerzo y excelencia han propiciado los reconocimientos logrados.</w:t>
      </w:r>
    </w:p>
    <w:p>
      <w:pPr>
        <w:pStyle w:val="Heading4"/>
        <w:spacing w:before="121"/>
      </w:pPr>
      <w:r>
        <w:rPr/>
        <w:t>MEDIOS DE </w:t>
      </w:r>
      <w:r>
        <w:rPr>
          <w:spacing w:val="-2"/>
        </w:rPr>
        <w:t>COMUNICACIÓN.</w:t>
      </w:r>
    </w:p>
    <w:p>
      <w:pPr>
        <w:pStyle w:val="BodyText"/>
        <w:spacing w:line="357" w:lineRule="auto" w:before="149"/>
        <w:ind w:left="165" w:right="635" w:hanging="1"/>
        <w:jc w:val="both"/>
      </w:pPr>
      <w:r>
        <w:rPr/>
        <w:t>Entrevistas</w:t>
      </w:r>
      <w:r>
        <w:rPr>
          <w:spacing w:val="-7"/>
        </w:rPr>
        <w:t> </w:t>
      </w:r>
      <w:r>
        <w:rPr/>
        <w:t>realizadas</w:t>
      </w:r>
      <w:r>
        <w:rPr>
          <w:spacing w:val="-7"/>
        </w:rPr>
        <w:t> </w:t>
      </w:r>
      <w:r>
        <w:rPr/>
        <w:t>a</w:t>
      </w:r>
      <w:r>
        <w:rPr>
          <w:spacing w:val="-7"/>
        </w:rPr>
        <w:t> </w:t>
      </w:r>
      <w:r>
        <w:rPr/>
        <w:t>la</w:t>
      </w:r>
      <w:r>
        <w:rPr>
          <w:spacing w:val="-7"/>
        </w:rPr>
        <w:t> </w:t>
      </w:r>
      <w:r>
        <w:rPr/>
        <w:t>decana</w:t>
      </w:r>
      <w:r>
        <w:rPr>
          <w:spacing w:val="-7"/>
        </w:rPr>
        <w:t> </w:t>
      </w:r>
      <w:r>
        <w:rPr/>
        <w:t>en</w:t>
      </w:r>
      <w:r>
        <w:rPr>
          <w:spacing w:val="-8"/>
        </w:rPr>
        <w:t> </w:t>
      </w:r>
      <w:r>
        <w:rPr/>
        <w:t>el</w:t>
      </w:r>
      <w:r>
        <w:rPr>
          <w:spacing w:val="-8"/>
        </w:rPr>
        <w:t> </w:t>
      </w:r>
      <w:r>
        <w:rPr/>
        <w:t>especial</w:t>
      </w:r>
      <w:r>
        <w:rPr>
          <w:spacing w:val="-8"/>
        </w:rPr>
        <w:t> </w:t>
      </w:r>
      <w:r>
        <w:rPr/>
        <w:t>de</w:t>
      </w:r>
      <w:r>
        <w:rPr>
          <w:spacing w:val="-7"/>
        </w:rPr>
        <w:t> </w:t>
      </w:r>
      <w:r>
        <w:rPr/>
        <w:t>Colegios</w:t>
      </w:r>
      <w:r>
        <w:rPr>
          <w:spacing w:val="-7"/>
        </w:rPr>
        <w:t> </w:t>
      </w:r>
      <w:r>
        <w:rPr/>
        <w:t>profesionales</w:t>
      </w:r>
      <w:r>
        <w:rPr>
          <w:spacing w:val="-7"/>
        </w:rPr>
        <w:t> </w:t>
      </w:r>
      <w:r>
        <w:rPr/>
        <w:t>de</w:t>
      </w:r>
      <w:r>
        <w:rPr>
          <w:spacing w:val="-7"/>
        </w:rPr>
        <w:t> </w:t>
      </w:r>
      <w:r>
        <w:rPr/>
        <w:t>El</w:t>
      </w:r>
      <w:r>
        <w:rPr>
          <w:spacing w:val="-8"/>
        </w:rPr>
        <w:t> </w:t>
      </w:r>
      <w:r>
        <w:rPr/>
        <w:t>Día</w:t>
      </w:r>
      <w:r>
        <w:rPr>
          <w:spacing w:val="-7"/>
        </w:rPr>
        <w:t> </w:t>
      </w:r>
      <w:r>
        <w:rPr/>
        <w:t>y</w:t>
      </w:r>
      <w:r>
        <w:rPr>
          <w:spacing w:val="-6"/>
        </w:rPr>
        <w:t> </w:t>
      </w:r>
      <w:r>
        <w:rPr/>
        <w:t>de</w:t>
      </w:r>
      <w:r>
        <w:rPr>
          <w:spacing w:val="-7"/>
        </w:rPr>
        <w:t> </w:t>
      </w:r>
      <w:r>
        <w:rPr/>
        <w:t>Tribuna</w:t>
      </w:r>
      <w:r>
        <w:rPr>
          <w:spacing w:val="-7"/>
        </w:rPr>
        <w:t> </w:t>
      </w:r>
      <w:r>
        <w:rPr/>
        <w:t>de </w:t>
      </w:r>
      <w:r>
        <w:rPr>
          <w:spacing w:val="-2"/>
        </w:rPr>
        <w:t>Canarias</w:t>
      </w:r>
    </w:p>
    <w:p>
      <w:pPr>
        <w:pStyle w:val="BodyText"/>
        <w:spacing w:before="7"/>
        <w:rPr>
          <w:sz w:val="3"/>
        </w:rPr>
      </w:pPr>
      <w:r>
        <w:rPr>
          <w:sz w:val="3"/>
        </w:rPr>
        <w:drawing>
          <wp:anchor distT="0" distB="0" distL="0" distR="0" allowOverlap="1" layoutInCell="1" locked="0" behindDoc="1" simplePos="0" relativeHeight="487591936">
            <wp:simplePos x="0" y="0"/>
            <wp:positionH relativeFrom="page">
              <wp:posOffset>866139</wp:posOffset>
            </wp:positionH>
            <wp:positionV relativeFrom="paragraph">
              <wp:posOffset>43309</wp:posOffset>
            </wp:positionV>
            <wp:extent cx="2443367" cy="3046856"/>
            <wp:effectExtent l="0" t="0" r="0" b="0"/>
            <wp:wrapTopAndBottom/>
            <wp:docPr id="16" name="Image 16"/>
            <wp:cNvGraphicFramePr>
              <a:graphicFrameLocks/>
            </wp:cNvGraphicFramePr>
            <a:graphic>
              <a:graphicData uri="http://schemas.openxmlformats.org/drawingml/2006/picture">
                <pic:pic>
                  <pic:nvPicPr>
                    <pic:cNvPr id="16" name="Image 16"/>
                    <pic:cNvPicPr/>
                  </pic:nvPicPr>
                  <pic:blipFill>
                    <a:blip r:embed="rId19" cstate="print"/>
                    <a:stretch>
                      <a:fillRect/>
                    </a:stretch>
                  </pic:blipFill>
                  <pic:spPr>
                    <a:xfrm>
                      <a:off x="0" y="0"/>
                      <a:ext cx="2443367" cy="3046856"/>
                    </a:xfrm>
                    <a:prstGeom prst="rect">
                      <a:avLst/>
                    </a:prstGeom>
                  </pic:spPr>
                </pic:pic>
              </a:graphicData>
            </a:graphic>
          </wp:anchor>
        </w:drawing>
      </w:r>
      <w:r>
        <w:rPr>
          <w:sz w:val="3"/>
        </w:rPr>
        <w:drawing>
          <wp:anchor distT="0" distB="0" distL="0" distR="0" allowOverlap="1" layoutInCell="1" locked="0" behindDoc="1" simplePos="0" relativeHeight="487592448">
            <wp:simplePos x="0" y="0"/>
            <wp:positionH relativeFrom="page">
              <wp:posOffset>3386454</wp:posOffset>
            </wp:positionH>
            <wp:positionV relativeFrom="paragraph">
              <wp:posOffset>96709</wp:posOffset>
            </wp:positionV>
            <wp:extent cx="3495687" cy="2430779"/>
            <wp:effectExtent l="0" t="0" r="0" b="0"/>
            <wp:wrapTopAndBottom/>
            <wp:docPr id="17" name="Image 17"/>
            <wp:cNvGraphicFramePr>
              <a:graphicFrameLocks/>
            </wp:cNvGraphicFramePr>
            <a:graphic>
              <a:graphicData uri="http://schemas.openxmlformats.org/drawingml/2006/picture">
                <pic:pic>
                  <pic:nvPicPr>
                    <pic:cNvPr id="17" name="Image 17"/>
                    <pic:cNvPicPr/>
                  </pic:nvPicPr>
                  <pic:blipFill>
                    <a:blip r:embed="rId20" cstate="print"/>
                    <a:stretch>
                      <a:fillRect/>
                    </a:stretch>
                  </pic:blipFill>
                  <pic:spPr>
                    <a:xfrm>
                      <a:off x="0" y="0"/>
                      <a:ext cx="3495687" cy="2430779"/>
                    </a:xfrm>
                    <a:prstGeom prst="rect">
                      <a:avLst/>
                    </a:prstGeom>
                  </pic:spPr>
                </pic:pic>
              </a:graphicData>
            </a:graphic>
          </wp:anchor>
        </w:drawing>
      </w:r>
    </w:p>
    <w:p>
      <w:pPr>
        <w:pStyle w:val="BodyText"/>
        <w:spacing w:before="226"/>
      </w:pPr>
    </w:p>
    <w:p>
      <w:pPr>
        <w:pStyle w:val="Heading4"/>
      </w:pPr>
      <w:r>
        <w:rPr/>
        <w:t>VISITA</w:t>
      </w:r>
      <w:r>
        <w:rPr>
          <w:spacing w:val="-3"/>
        </w:rPr>
        <w:t> </w:t>
      </w:r>
      <w:r>
        <w:rPr/>
        <w:t>INSTITUCIONAL</w:t>
      </w:r>
      <w:r>
        <w:rPr>
          <w:spacing w:val="-3"/>
        </w:rPr>
        <w:t> </w:t>
      </w:r>
      <w:r>
        <w:rPr/>
        <w:t>AL</w:t>
      </w:r>
      <w:r>
        <w:rPr>
          <w:spacing w:val="-2"/>
        </w:rPr>
        <w:t> </w:t>
      </w:r>
      <w:r>
        <w:rPr/>
        <w:t>INSTITUTO</w:t>
      </w:r>
      <w:r>
        <w:rPr>
          <w:spacing w:val="-4"/>
        </w:rPr>
        <w:t> </w:t>
      </w:r>
      <w:r>
        <w:rPr/>
        <w:t>TECNOLÓGICO</w:t>
      </w:r>
      <w:r>
        <w:rPr>
          <w:spacing w:val="-3"/>
        </w:rPr>
        <w:t> </w:t>
      </w:r>
      <w:r>
        <w:rPr/>
        <w:t>DE</w:t>
      </w:r>
      <w:r>
        <w:rPr>
          <w:spacing w:val="-3"/>
        </w:rPr>
        <w:t> </w:t>
      </w:r>
      <w:r>
        <w:rPr/>
        <w:t>CANARIAS</w:t>
      </w:r>
      <w:r>
        <w:rPr>
          <w:spacing w:val="-2"/>
        </w:rPr>
        <w:t> (ITC)</w:t>
      </w:r>
    </w:p>
    <w:p>
      <w:pPr>
        <w:pStyle w:val="BodyText"/>
        <w:spacing w:line="360" w:lineRule="auto" w:before="149"/>
        <w:ind w:left="165" w:right="638"/>
        <w:jc w:val="both"/>
      </w:pPr>
      <w:r>
        <w:rPr/>
        <w:drawing>
          <wp:anchor distT="0" distB="0" distL="0" distR="0" allowOverlap="1" layoutInCell="1" locked="0" behindDoc="1" simplePos="0" relativeHeight="487592960">
            <wp:simplePos x="0" y="0"/>
            <wp:positionH relativeFrom="page">
              <wp:posOffset>2380488</wp:posOffset>
            </wp:positionH>
            <wp:positionV relativeFrom="paragraph">
              <wp:posOffset>947013</wp:posOffset>
            </wp:positionV>
            <wp:extent cx="3160776" cy="2423160"/>
            <wp:effectExtent l="0" t="0" r="0" b="0"/>
            <wp:wrapTopAndBottom/>
            <wp:docPr id="18" name="Image 18"/>
            <wp:cNvGraphicFramePr>
              <a:graphicFrameLocks/>
            </wp:cNvGraphicFramePr>
            <a:graphic>
              <a:graphicData uri="http://schemas.openxmlformats.org/drawingml/2006/picture">
                <pic:pic>
                  <pic:nvPicPr>
                    <pic:cNvPr id="18" name="Image 18"/>
                    <pic:cNvPicPr/>
                  </pic:nvPicPr>
                  <pic:blipFill>
                    <a:blip r:embed="rId21" cstate="print"/>
                    <a:stretch>
                      <a:fillRect/>
                    </a:stretch>
                  </pic:blipFill>
                  <pic:spPr>
                    <a:xfrm>
                      <a:off x="0" y="0"/>
                      <a:ext cx="3160776" cy="2423160"/>
                    </a:xfrm>
                    <a:prstGeom prst="rect">
                      <a:avLst/>
                    </a:prstGeom>
                  </pic:spPr>
                </pic:pic>
              </a:graphicData>
            </a:graphic>
          </wp:anchor>
        </w:drawing>
      </w:r>
      <w:r>
        <w:rPr/>
        <w:t>El 29 de marzo se realizó una visita técnica al Instituto Tecnológico de Canarias, fortaleciendo las sinergias entre el Colegio y el ecosistema regional de innovación. Esta acción se enmarca en la estrategia de conexión con centros tecnológicos y sectores productivos estratégicos.</w:t>
      </w:r>
    </w:p>
    <w:p>
      <w:pPr>
        <w:pStyle w:val="BodyText"/>
        <w:spacing w:after="0" w:line="360" w:lineRule="auto"/>
        <w:jc w:val="both"/>
        <w:sectPr>
          <w:pgSz w:w="11900" w:h="16840"/>
          <w:pgMar w:header="0" w:footer="516" w:top="1260" w:bottom="700" w:left="1275" w:right="283"/>
        </w:sectPr>
      </w:pPr>
    </w:p>
    <w:p>
      <w:pPr>
        <w:pStyle w:val="Heading4"/>
        <w:spacing w:before="89"/>
        <w:jc w:val="left"/>
      </w:pPr>
      <w:r>
        <w:rPr/>
        <w:t>XX</w:t>
      </w:r>
      <w:r>
        <w:rPr>
          <w:spacing w:val="-2"/>
        </w:rPr>
        <w:t> </w:t>
      </w:r>
      <w:r>
        <w:rPr/>
        <w:t>CONGRESO</w:t>
      </w:r>
      <w:r>
        <w:rPr>
          <w:spacing w:val="-2"/>
        </w:rPr>
        <w:t> </w:t>
      </w:r>
      <w:r>
        <w:rPr/>
        <w:t>DE</w:t>
      </w:r>
      <w:r>
        <w:rPr>
          <w:spacing w:val="-1"/>
        </w:rPr>
        <w:t> </w:t>
      </w:r>
      <w:r>
        <w:rPr/>
        <w:t>ESTUDIANTES</w:t>
      </w:r>
      <w:r>
        <w:rPr>
          <w:spacing w:val="-1"/>
        </w:rPr>
        <w:t> </w:t>
      </w:r>
      <w:r>
        <w:rPr/>
        <w:t>DE</w:t>
      </w:r>
      <w:r>
        <w:rPr>
          <w:spacing w:val="-1"/>
        </w:rPr>
        <w:t> </w:t>
      </w:r>
      <w:r>
        <w:rPr/>
        <w:t>LA</w:t>
      </w:r>
      <w:r>
        <w:rPr>
          <w:spacing w:val="-1"/>
        </w:rPr>
        <w:t> </w:t>
      </w:r>
      <w:r>
        <w:rPr>
          <w:spacing w:val="-4"/>
        </w:rPr>
        <w:t>ULL.</w:t>
      </w:r>
    </w:p>
    <w:p>
      <w:pPr>
        <w:pStyle w:val="BodyText"/>
        <w:spacing w:line="360" w:lineRule="auto" w:before="148"/>
        <w:ind w:left="165" w:right="752"/>
        <w:jc w:val="both"/>
      </w:pPr>
      <w:r>
        <w:rPr/>
        <w:drawing>
          <wp:anchor distT="0" distB="0" distL="0" distR="0" allowOverlap="1" layoutInCell="1" locked="0" behindDoc="1" simplePos="0" relativeHeight="487593472">
            <wp:simplePos x="0" y="0"/>
            <wp:positionH relativeFrom="page">
              <wp:posOffset>2072639</wp:posOffset>
            </wp:positionH>
            <wp:positionV relativeFrom="paragraph">
              <wp:posOffset>943629</wp:posOffset>
            </wp:positionV>
            <wp:extent cx="3663696" cy="2801112"/>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22" cstate="print"/>
                    <a:stretch>
                      <a:fillRect/>
                    </a:stretch>
                  </pic:blipFill>
                  <pic:spPr>
                    <a:xfrm>
                      <a:off x="0" y="0"/>
                      <a:ext cx="3663696" cy="2801112"/>
                    </a:xfrm>
                    <a:prstGeom prst="rect">
                      <a:avLst/>
                    </a:prstGeom>
                  </pic:spPr>
                </pic:pic>
              </a:graphicData>
            </a:graphic>
          </wp:anchor>
        </w:drawing>
      </w:r>
      <w:r>
        <w:rPr/>
        <w:t>Durante</w:t>
      </w:r>
      <w:r>
        <w:rPr>
          <w:spacing w:val="-9"/>
        </w:rPr>
        <w:t> </w:t>
      </w:r>
      <w:r>
        <w:rPr/>
        <w:t>el</w:t>
      </w:r>
      <w:r>
        <w:rPr>
          <w:spacing w:val="-10"/>
        </w:rPr>
        <w:t> </w:t>
      </w:r>
      <w:r>
        <w:rPr/>
        <w:t>mes</w:t>
      </w:r>
      <w:r>
        <w:rPr>
          <w:spacing w:val="-10"/>
        </w:rPr>
        <w:t> </w:t>
      </w:r>
      <w:r>
        <w:rPr/>
        <w:t>de</w:t>
      </w:r>
      <w:r>
        <w:rPr>
          <w:spacing w:val="-9"/>
        </w:rPr>
        <w:t> </w:t>
      </w:r>
      <w:r>
        <w:rPr/>
        <w:t>abril,</w:t>
      </w:r>
      <w:r>
        <w:rPr>
          <w:spacing w:val="-10"/>
        </w:rPr>
        <w:t> </w:t>
      </w:r>
      <w:r>
        <w:rPr/>
        <w:t>miembros</w:t>
      </w:r>
      <w:r>
        <w:rPr>
          <w:spacing w:val="-10"/>
        </w:rPr>
        <w:t> </w:t>
      </w:r>
      <w:r>
        <w:rPr/>
        <w:t>de</w:t>
      </w:r>
      <w:r>
        <w:rPr>
          <w:spacing w:val="-9"/>
        </w:rPr>
        <w:t> </w:t>
      </w:r>
      <w:r>
        <w:rPr/>
        <w:t>la</w:t>
      </w:r>
      <w:r>
        <w:rPr>
          <w:spacing w:val="-10"/>
        </w:rPr>
        <w:t> </w:t>
      </w:r>
      <w:r>
        <w:rPr/>
        <w:t>Junta</w:t>
      </w:r>
      <w:r>
        <w:rPr>
          <w:spacing w:val="-10"/>
        </w:rPr>
        <w:t> </w:t>
      </w:r>
      <w:r>
        <w:rPr/>
        <w:t>Directiva</w:t>
      </w:r>
      <w:r>
        <w:rPr>
          <w:spacing w:val="-10"/>
        </w:rPr>
        <w:t> </w:t>
      </w:r>
      <w:r>
        <w:rPr/>
        <w:t>participaron</w:t>
      </w:r>
      <w:r>
        <w:rPr>
          <w:spacing w:val="-10"/>
        </w:rPr>
        <w:t> </w:t>
      </w:r>
      <w:r>
        <w:rPr/>
        <w:t>en</w:t>
      </w:r>
      <w:r>
        <w:rPr>
          <w:spacing w:val="-10"/>
        </w:rPr>
        <w:t> </w:t>
      </w:r>
      <w:r>
        <w:rPr/>
        <w:t>la</w:t>
      </w:r>
      <w:r>
        <w:rPr>
          <w:spacing w:val="-10"/>
        </w:rPr>
        <w:t> </w:t>
      </w:r>
      <w:r>
        <w:rPr/>
        <w:t>inauguración</w:t>
      </w:r>
      <w:r>
        <w:rPr>
          <w:spacing w:val="-10"/>
        </w:rPr>
        <w:t> </w:t>
      </w:r>
      <w:r>
        <w:rPr/>
        <w:t>y</w:t>
      </w:r>
      <w:r>
        <w:rPr>
          <w:spacing w:val="-10"/>
        </w:rPr>
        <w:t> </w:t>
      </w:r>
      <w:r>
        <w:rPr/>
        <w:t>clausura del Congreso de Estudiantes, consolidando el compromiso del Colegio con la comunidad universitaria y el acompañamiento a las nuevas generaciones de profesionales.</w:t>
      </w:r>
    </w:p>
    <w:p>
      <w:pPr>
        <w:pStyle w:val="Heading4"/>
        <w:spacing w:before="270"/>
        <w:jc w:val="left"/>
      </w:pPr>
      <w:r>
        <w:rPr/>
        <w:t>REUNIÓN CON LA CONSEJERÍA DE </w:t>
      </w:r>
      <w:r>
        <w:rPr>
          <w:spacing w:val="-2"/>
        </w:rPr>
        <w:t>SANIDAD</w:t>
      </w:r>
    </w:p>
    <w:p>
      <w:pPr>
        <w:pStyle w:val="BodyText"/>
        <w:spacing w:line="360" w:lineRule="auto" w:before="149"/>
        <w:ind w:left="165" w:right="753"/>
        <w:jc w:val="both"/>
      </w:pPr>
      <w:r>
        <w:rPr/>
        <w:t>El 7 de abril se mantuvo una reunión con la Consejería de Sanidad para abordar cuestiones vinculadas</w:t>
      </w:r>
      <w:r>
        <w:rPr>
          <w:spacing w:val="-9"/>
        </w:rPr>
        <w:t> </w:t>
      </w:r>
      <w:r>
        <w:rPr/>
        <w:t>al</w:t>
      </w:r>
      <w:r>
        <w:rPr>
          <w:spacing w:val="-9"/>
        </w:rPr>
        <w:t> </w:t>
      </w:r>
      <w:r>
        <w:rPr/>
        <w:t>ejercicio</w:t>
      </w:r>
      <w:r>
        <w:rPr>
          <w:spacing w:val="-9"/>
        </w:rPr>
        <w:t> </w:t>
      </w:r>
      <w:r>
        <w:rPr/>
        <w:t>profesional</w:t>
      </w:r>
      <w:r>
        <w:rPr>
          <w:spacing w:val="-9"/>
        </w:rPr>
        <w:t> </w:t>
      </w:r>
      <w:r>
        <w:rPr/>
        <w:t>en</w:t>
      </w:r>
      <w:r>
        <w:rPr>
          <w:spacing w:val="-9"/>
        </w:rPr>
        <w:t> </w:t>
      </w:r>
      <w:r>
        <w:rPr/>
        <w:t>el</w:t>
      </w:r>
      <w:r>
        <w:rPr>
          <w:spacing w:val="-9"/>
        </w:rPr>
        <w:t> </w:t>
      </w:r>
      <w:r>
        <w:rPr/>
        <w:t>ámbito</w:t>
      </w:r>
      <w:r>
        <w:rPr>
          <w:spacing w:val="-9"/>
        </w:rPr>
        <w:t> </w:t>
      </w:r>
      <w:r>
        <w:rPr/>
        <w:t>químico-sanitario.</w:t>
      </w:r>
      <w:r>
        <w:rPr>
          <w:spacing w:val="-9"/>
        </w:rPr>
        <w:t> </w:t>
      </w:r>
      <w:r>
        <w:rPr/>
        <w:t>El</w:t>
      </w:r>
      <w:r>
        <w:rPr>
          <w:spacing w:val="-9"/>
        </w:rPr>
        <w:t> </w:t>
      </w:r>
      <w:r>
        <w:rPr/>
        <w:t>encuentro</w:t>
      </w:r>
      <w:r>
        <w:rPr>
          <w:spacing w:val="-9"/>
        </w:rPr>
        <w:t> </w:t>
      </w:r>
      <w:r>
        <w:rPr/>
        <w:t>permitió</w:t>
      </w:r>
      <w:r>
        <w:rPr>
          <w:spacing w:val="-9"/>
        </w:rPr>
        <w:t> </w:t>
      </w:r>
      <w:r>
        <w:rPr/>
        <w:t>trasladar la visión técnica del Colegio y reforzar su papel como interlocutor especializado ante la </w:t>
      </w:r>
      <w:r>
        <w:rPr>
          <w:spacing w:val="-2"/>
        </w:rPr>
        <w:t>Administración.</w:t>
      </w:r>
    </w:p>
    <w:p>
      <w:pPr>
        <w:pStyle w:val="Heading4"/>
        <w:spacing w:before="114"/>
        <w:jc w:val="left"/>
      </w:pPr>
      <w:r>
        <w:rPr/>
        <w:t>PLENOS</w:t>
      </w:r>
      <w:r>
        <w:rPr>
          <w:spacing w:val="-1"/>
        </w:rPr>
        <w:t> </w:t>
      </w:r>
      <w:r>
        <w:rPr/>
        <w:t>DEL</w:t>
      </w:r>
      <w:r>
        <w:rPr>
          <w:spacing w:val="-1"/>
        </w:rPr>
        <w:t> </w:t>
      </w:r>
      <w:r>
        <w:rPr/>
        <w:t>CONSEJO</w:t>
      </w:r>
      <w:r>
        <w:rPr>
          <w:spacing w:val="-2"/>
        </w:rPr>
        <w:t> </w:t>
      </w:r>
      <w:r>
        <w:rPr/>
        <w:t>GENERAL DE</w:t>
      </w:r>
      <w:r>
        <w:rPr>
          <w:spacing w:val="-1"/>
        </w:rPr>
        <w:t> </w:t>
      </w:r>
      <w:r>
        <w:rPr/>
        <w:t>COLEGIOS</w:t>
      </w:r>
      <w:r>
        <w:rPr>
          <w:spacing w:val="-1"/>
        </w:rPr>
        <w:t> </w:t>
      </w:r>
      <w:r>
        <w:rPr/>
        <w:t>OFICIALES</w:t>
      </w:r>
      <w:r>
        <w:rPr>
          <w:spacing w:val="-1"/>
        </w:rPr>
        <w:t> </w:t>
      </w:r>
      <w:r>
        <w:rPr/>
        <w:t>DE </w:t>
      </w:r>
      <w:r>
        <w:rPr>
          <w:spacing w:val="-2"/>
        </w:rPr>
        <w:t>QUÍMICOS</w:t>
      </w:r>
    </w:p>
    <w:p>
      <w:pPr>
        <w:pStyle w:val="BodyText"/>
        <w:spacing w:line="360" w:lineRule="auto" w:before="149"/>
        <w:ind w:left="165" w:right="752"/>
        <w:jc w:val="both"/>
      </w:pPr>
      <w:r>
        <w:rPr/>
        <w:t>A lo largo del ejercicio 2025, la Decana participó activamente en los Plenos ordinarios y extraordinarios</w:t>
      </w:r>
      <w:r>
        <w:rPr>
          <w:spacing w:val="-4"/>
        </w:rPr>
        <w:t> </w:t>
      </w:r>
      <w:r>
        <w:rPr/>
        <w:t>del</w:t>
      </w:r>
      <w:r>
        <w:rPr>
          <w:spacing w:val="-4"/>
        </w:rPr>
        <w:t> </w:t>
      </w:r>
      <w:r>
        <w:rPr/>
        <w:t>Consejo</w:t>
      </w:r>
      <w:r>
        <w:rPr>
          <w:spacing w:val="-4"/>
        </w:rPr>
        <w:t> </w:t>
      </w:r>
      <w:r>
        <w:rPr/>
        <w:t>General,</w:t>
      </w:r>
      <w:r>
        <w:rPr>
          <w:spacing w:val="-4"/>
        </w:rPr>
        <w:t> </w:t>
      </w:r>
      <w:r>
        <w:rPr/>
        <w:t>contribuyendo</w:t>
      </w:r>
      <w:r>
        <w:rPr>
          <w:spacing w:val="-4"/>
        </w:rPr>
        <w:t> </w:t>
      </w:r>
      <w:r>
        <w:rPr/>
        <w:t>a</w:t>
      </w:r>
      <w:r>
        <w:rPr>
          <w:spacing w:val="-4"/>
        </w:rPr>
        <w:t> </w:t>
      </w:r>
      <w:r>
        <w:rPr/>
        <w:t>los</w:t>
      </w:r>
      <w:r>
        <w:rPr>
          <w:spacing w:val="-4"/>
        </w:rPr>
        <w:t> </w:t>
      </w:r>
      <w:r>
        <w:rPr/>
        <w:t>debates</w:t>
      </w:r>
      <w:r>
        <w:rPr>
          <w:spacing w:val="-4"/>
        </w:rPr>
        <w:t> </w:t>
      </w:r>
      <w:r>
        <w:rPr/>
        <w:t>estratégicos</w:t>
      </w:r>
      <w:r>
        <w:rPr>
          <w:spacing w:val="-4"/>
        </w:rPr>
        <w:t> </w:t>
      </w:r>
      <w:r>
        <w:rPr/>
        <w:t>sobre</w:t>
      </w:r>
      <w:r>
        <w:rPr>
          <w:spacing w:val="-3"/>
        </w:rPr>
        <w:t> </w:t>
      </w:r>
      <w:r>
        <w:rPr/>
        <w:t>el</w:t>
      </w:r>
      <w:r>
        <w:rPr>
          <w:spacing w:val="-4"/>
        </w:rPr>
        <w:t> </w:t>
      </w:r>
      <w:r>
        <w:rPr/>
        <w:t>futuro</w:t>
      </w:r>
      <w:r>
        <w:rPr>
          <w:spacing w:val="-4"/>
        </w:rPr>
        <w:t> </w:t>
      </w:r>
      <w:r>
        <w:rPr/>
        <w:t>de la profesión y reforzando la coordinación nacional. Esta presencia constante consolida la representación del Colegio en el ámbito estatal.</w:t>
      </w:r>
    </w:p>
    <w:p>
      <w:pPr>
        <w:pStyle w:val="BodyText"/>
        <w:spacing w:after="0" w:line="360" w:lineRule="auto"/>
        <w:jc w:val="both"/>
        <w:sectPr>
          <w:pgSz w:w="11900" w:h="16840"/>
          <w:pgMar w:header="0" w:footer="516" w:top="1660" w:bottom="700" w:left="1275" w:right="283"/>
        </w:sectPr>
      </w:pPr>
    </w:p>
    <w:p>
      <w:pPr>
        <w:spacing w:line="240" w:lineRule="auto"/>
        <w:ind w:left="1629" w:right="0" w:firstLine="0"/>
        <w:rPr>
          <w:sz w:val="20"/>
        </w:rPr>
      </w:pPr>
      <w:r>
        <w:rPr>
          <w:sz w:val="20"/>
        </w:rPr>
        <w:drawing>
          <wp:inline distT="0" distB="0" distL="0" distR="0">
            <wp:extent cx="4064316" cy="3099816"/>
            <wp:effectExtent l="0" t="0" r="0" b="0"/>
            <wp:docPr id="20" name="Image 20"/>
            <wp:cNvGraphicFramePr>
              <a:graphicFrameLocks/>
            </wp:cNvGraphicFramePr>
            <a:graphic>
              <a:graphicData uri="http://schemas.openxmlformats.org/drawingml/2006/picture">
                <pic:pic>
                  <pic:nvPicPr>
                    <pic:cNvPr id="20" name="Image 20"/>
                    <pic:cNvPicPr/>
                  </pic:nvPicPr>
                  <pic:blipFill>
                    <a:blip r:embed="rId23" cstate="print"/>
                    <a:stretch>
                      <a:fillRect/>
                    </a:stretch>
                  </pic:blipFill>
                  <pic:spPr>
                    <a:xfrm>
                      <a:off x="0" y="0"/>
                      <a:ext cx="4064316" cy="3099816"/>
                    </a:xfrm>
                    <a:prstGeom prst="rect">
                      <a:avLst/>
                    </a:prstGeom>
                  </pic:spPr>
                </pic:pic>
              </a:graphicData>
            </a:graphic>
          </wp:inline>
        </w:drawing>
      </w:r>
      <w:r>
        <w:rPr>
          <w:sz w:val="20"/>
        </w:rPr>
      </w:r>
    </w:p>
    <w:p>
      <w:pPr>
        <w:pStyle w:val="BodyText"/>
      </w:pPr>
    </w:p>
    <w:p>
      <w:pPr>
        <w:pStyle w:val="BodyText"/>
        <w:spacing w:before="133"/>
      </w:pPr>
    </w:p>
    <w:p>
      <w:pPr>
        <w:pStyle w:val="Heading4"/>
        <w:spacing w:line="362" w:lineRule="auto" w:before="1"/>
        <w:ind w:right="635"/>
      </w:pPr>
      <w:r>
        <w:rPr/>
        <w:t>GUIA DE LOS GRADOS UNIVERSITARIOS RELACIONADOS CON LA ECONOMÍA VERDE Y LA ECONOMÍA AZUL SOSTENIBLE EN TENERIFE.</w:t>
      </w:r>
    </w:p>
    <w:p>
      <w:pPr>
        <w:pStyle w:val="BodyText"/>
        <w:spacing w:line="360" w:lineRule="auto"/>
        <w:ind w:left="165" w:right="751"/>
        <w:jc w:val="both"/>
      </w:pPr>
      <w:r>
        <w:rPr/>
        <w:t>Participamos</w:t>
      </w:r>
      <w:r>
        <w:rPr>
          <w:spacing w:val="-5"/>
        </w:rPr>
        <w:t> </w:t>
      </w:r>
      <w:r>
        <w:rPr/>
        <w:t>en</w:t>
      </w:r>
      <w:r>
        <w:rPr>
          <w:spacing w:val="-5"/>
        </w:rPr>
        <w:t> </w:t>
      </w:r>
      <w:r>
        <w:rPr/>
        <w:t>la</w:t>
      </w:r>
      <w:r>
        <w:rPr>
          <w:spacing w:val="-5"/>
        </w:rPr>
        <w:t> </w:t>
      </w:r>
      <w:r>
        <w:rPr/>
        <w:t>presentación</w:t>
      </w:r>
      <w:r>
        <w:rPr>
          <w:spacing w:val="-5"/>
        </w:rPr>
        <w:t> </w:t>
      </w:r>
      <w:r>
        <w:rPr/>
        <w:t>de</w:t>
      </w:r>
      <w:r>
        <w:rPr>
          <w:spacing w:val="-5"/>
        </w:rPr>
        <w:t> </w:t>
      </w:r>
      <w:r>
        <w:rPr/>
        <w:t>estas</w:t>
      </w:r>
      <w:r>
        <w:rPr>
          <w:spacing w:val="-4"/>
        </w:rPr>
        <w:t> </w:t>
      </w:r>
      <w:r>
        <w:rPr/>
        <w:t>guías</w:t>
      </w:r>
      <w:r>
        <w:rPr>
          <w:spacing w:val="-5"/>
        </w:rPr>
        <w:t> </w:t>
      </w:r>
      <w:r>
        <w:rPr/>
        <w:t>impulsadas</w:t>
      </w:r>
      <w:r>
        <w:rPr>
          <w:spacing w:val="-5"/>
        </w:rPr>
        <w:t> </w:t>
      </w:r>
      <w:r>
        <w:rPr/>
        <w:t>por</w:t>
      </w:r>
      <w:r>
        <w:rPr>
          <w:spacing w:val="-5"/>
        </w:rPr>
        <w:t> </w:t>
      </w:r>
      <w:r>
        <w:rPr/>
        <w:t>el</w:t>
      </w:r>
      <w:r>
        <w:rPr>
          <w:spacing w:val="-5"/>
        </w:rPr>
        <w:t> </w:t>
      </w:r>
      <w:r>
        <w:rPr/>
        <w:t>Cabildo</w:t>
      </w:r>
      <w:r>
        <w:rPr>
          <w:spacing w:val="-5"/>
        </w:rPr>
        <w:t> </w:t>
      </w:r>
      <w:r>
        <w:rPr/>
        <w:t>de</w:t>
      </w:r>
      <w:r>
        <w:rPr>
          <w:spacing w:val="-5"/>
        </w:rPr>
        <w:t> </w:t>
      </w:r>
      <w:r>
        <w:rPr/>
        <w:t>Tenerife</w:t>
      </w:r>
      <w:r>
        <w:rPr>
          <w:spacing w:val="-5"/>
        </w:rPr>
        <w:t> </w:t>
      </w:r>
      <w:r>
        <w:rPr/>
        <w:t>y</w:t>
      </w:r>
      <w:r>
        <w:rPr>
          <w:spacing w:val="-5"/>
        </w:rPr>
        <w:t> </w:t>
      </w:r>
      <w:r>
        <w:rPr/>
        <w:t>la</w:t>
      </w:r>
      <w:r>
        <w:rPr>
          <w:spacing w:val="-5"/>
        </w:rPr>
        <w:t> </w:t>
      </w:r>
      <w:r>
        <w:rPr/>
        <w:t>Cámara de Comercio de Santa Cruz de Tenerife y en las que participamos en la redacción de las titulaciones de Grado en Química y en Ciencias Ambientales.</w:t>
      </w:r>
    </w:p>
    <w:p>
      <w:pPr>
        <w:pStyle w:val="Heading4"/>
        <w:spacing w:before="110"/>
      </w:pPr>
      <w:r>
        <w:rPr/>
        <w:t>ENTREGA</w:t>
      </w:r>
      <w:r>
        <w:rPr>
          <w:spacing w:val="-4"/>
        </w:rPr>
        <w:t> </w:t>
      </w:r>
      <w:r>
        <w:rPr/>
        <w:t>DE</w:t>
      </w:r>
      <w:r>
        <w:rPr>
          <w:spacing w:val="-2"/>
        </w:rPr>
        <w:t> </w:t>
      </w:r>
      <w:r>
        <w:rPr/>
        <w:t>PREMIO</w:t>
      </w:r>
      <w:r>
        <w:rPr>
          <w:spacing w:val="-2"/>
        </w:rPr>
        <w:t> </w:t>
      </w:r>
      <w:r>
        <w:rPr/>
        <w:t>DE</w:t>
      </w:r>
      <w:r>
        <w:rPr>
          <w:spacing w:val="-2"/>
        </w:rPr>
        <w:t> </w:t>
      </w:r>
      <w:r>
        <w:rPr/>
        <w:t>EXCELENCIA</w:t>
      </w:r>
      <w:r>
        <w:rPr>
          <w:spacing w:val="-2"/>
        </w:rPr>
        <w:t> </w:t>
      </w:r>
      <w:r>
        <w:rPr/>
        <w:t>Y</w:t>
      </w:r>
      <w:r>
        <w:rPr>
          <w:spacing w:val="-2"/>
        </w:rPr>
        <w:t> </w:t>
      </w:r>
      <w:r>
        <w:rPr/>
        <w:t>PREMIO</w:t>
      </w:r>
      <w:r>
        <w:rPr>
          <w:spacing w:val="-3"/>
        </w:rPr>
        <w:t> </w:t>
      </w:r>
      <w:r>
        <w:rPr/>
        <w:t>DE</w:t>
      </w:r>
      <w:r>
        <w:rPr>
          <w:spacing w:val="-2"/>
        </w:rPr>
        <w:t> </w:t>
      </w:r>
      <w:r>
        <w:rPr/>
        <w:t>IGUALDAD</w:t>
      </w:r>
      <w:r>
        <w:rPr>
          <w:spacing w:val="-2"/>
        </w:rPr>
        <w:t> </w:t>
      </w:r>
      <w:r>
        <w:rPr/>
        <w:t>DEL</w:t>
      </w:r>
      <w:r>
        <w:rPr>
          <w:spacing w:val="-2"/>
        </w:rPr>
        <w:t> </w:t>
      </w:r>
      <w:r>
        <w:rPr/>
        <w:t>CONSEJO</w:t>
      </w:r>
      <w:r>
        <w:rPr>
          <w:spacing w:val="-2"/>
        </w:rPr>
        <w:t> GENERAL</w:t>
      </w:r>
    </w:p>
    <w:p>
      <w:pPr>
        <w:pStyle w:val="BodyText"/>
        <w:spacing w:line="360" w:lineRule="auto" w:before="149"/>
        <w:ind w:left="165" w:right="752" w:hanging="1"/>
        <w:jc w:val="both"/>
      </w:pPr>
      <w:r>
        <w:rPr/>
        <w:t>Nuestra decana estuvo presente, en representación del Colegio Oficial de Químicos de Canarias, en el acto de entrega de los Premios de Excelencia Química y Premio de Igualdad del Consejo General de Colegios Oficiales de Químicos de España, celebrado en Madrid.</w:t>
      </w:r>
    </w:p>
    <w:p>
      <w:pPr>
        <w:pStyle w:val="BodyText"/>
        <w:spacing w:line="360" w:lineRule="auto" w:before="1"/>
        <w:ind w:left="165" w:right="751"/>
        <w:jc w:val="both"/>
      </w:pPr>
      <w:r>
        <w:rPr/>
        <w:t>La Dra. Juana Bellanato, distinguida con el Premio a la Excelencia Química por su brillante trayectoria científica en el CSIC y su relevante contribución al avance de la espectroscopía infrarroja aplicada a la química.</w:t>
      </w:r>
    </w:p>
    <w:p>
      <w:pPr>
        <w:pStyle w:val="BodyText"/>
        <w:spacing w:line="360" w:lineRule="auto" w:before="2"/>
        <w:ind w:left="165" w:right="754"/>
        <w:jc w:val="both"/>
      </w:pPr>
      <w:r>
        <w:rPr/>
        <w:t>La Dra. María Esperanza Morillo León, galardonada con el Premio de Igualdad en la Profesión Química por su compromiso y trabajo en favor de la equidad en el ámbito académico y </w:t>
      </w:r>
      <w:r>
        <w:rPr>
          <w:spacing w:val="-2"/>
        </w:rPr>
        <w:t>profesional.</w:t>
      </w:r>
    </w:p>
    <w:p>
      <w:pPr>
        <w:pStyle w:val="BodyText"/>
        <w:spacing w:after="0" w:line="360" w:lineRule="auto"/>
        <w:jc w:val="both"/>
        <w:sectPr>
          <w:pgSz w:w="11900" w:h="16840"/>
          <w:pgMar w:header="0" w:footer="516" w:top="1360" w:bottom="700" w:left="1275" w:right="283"/>
        </w:sectPr>
      </w:pPr>
    </w:p>
    <w:p>
      <w:pPr>
        <w:spacing w:line="240" w:lineRule="auto"/>
        <w:ind w:left="1917" w:right="0" w:firstLine="0"/>
        <w:rPr>
          <w:sz w:val="20"/>
        </w:rPr>
      </w:pPr>
      <w:r>
        <w:rPr>
          <w:sz w:val="20"/>
        </w:rPr>
        <w:drawing>
          <wp:inline distT="0" distB="0" distL="0" distR="0">
            <wp:extent cx="3829617" cy="2926079"/>
            <wp:effectExtent l="0" t="0" r="0" b="0"/>
            <wp:docPr id="21" name="Image 21"/>
            <wp:cNvGraphicFramePr>
              <a:graphicFrameLocks/>
            </wp:cNvGraphicFramePr>
            <a:graphic>
              <a:graphicData uri="http://schemas.openxmlformats.org/drawingml/2006/picture">
                <pic:pic>
                  <pic:nvPicPr>
                    <pic:cNvPr id="21" name="Image 21"/>
                    <pic:cNvPicPr/>
                  </pic:nvPicPr>
                  <pic:blipFill>
                    <a:blip r:embed="rId24" cstate="print"/>
                    <a:stretch>
                      <a:fillRect/>
                    </a:stretch>
                  </pic:blipFill>
                  <pic:spPr>
                    <a:xfrm>
                      <a:off x="0" y="0"/>
                      <a:ext cx="3829617" cy="2926079"/>
                    </a:xfrm>
                    <a:prstGeom prst="rect">
                      <a:avLst/>
                    </a:prstGeom>
                  </pic:spPr>
                </pic:pic>
              </a:graphicData>
            </a:graphic>
          </wp:inline>
        </w:drawing>
      </w:r>
      <w:r>
        <w:rPr>
          <w:sz w:val="20"/>
        </w:rPr>
      </w:r>
    </w:p>
    <w:p>
      <w:pPr>
        <w:pStyle w:val="BodyText"/>
        <w:spacing w:before="249"/>
      </w:pPr>
    </w:p>
    <w:p>
      <w:pPr>
        <w:pStyle w:val="Heading4"/>
        <w:jc w:val="left"/>
      </w:pPr>
      <w:r>
        <w:rPr/>
        <w:t>ACTO</w:t>
      </w:r>
      <w:r>
        <w:rPr>
          <w:spacing w:val="-2"/>
        </w:rPr>
        <w:t> </w:t>
      </w:r>
      <w:r>
        <w:rPr/>
        <w:t>DEL</w:t>
      </w:r>
      <w:r>
        <w:rPr>
          <w:spacing w:val="-1"/>
        </w:rPr>
        <w:t> </w:t>
      </w:r>
      <w:r>
        <w:rPr/>
        <w:t>DÍA</w:t>
      </w:r>
      <w:r>
        <w:rPr>
          <w:spacing w:val="-1"/>
        </w:rPr>
        <w:t> </w:t>
      </w:r>
      <w:r>
        <w:rPr/>
        <w:t>DE </w:t>
      </w:r>
      <w:r>
        <w:rPr>
          <w:spacing w:val="-2"/>
        </w:rPr>
        <w:t>CANARIAS.</w:t>
      </w:r>
    </w:p>
    <w:p>
      <w:pPr>
        <w:pStyle w:val="BodyText"/>
        <w:spacing w:line="360" w:lineRule="auto" w:before="149"/>
        <w:ind w:left="165" w:right="752"/>
        <w:jc w:val="both"/>
      </w:pPr>
      <w:r>
        <w:rPr/>
        <w:t>El vicedecano asiste al acto de entrega de los Premios Canarias y las Medallas de Oro 2025. Talento, solidaridad e innovación canarios hoy representados por los hombres, mujeres y colectivos premiados.</w:t>
      </w:r>
    </w:p>
    <w:p>
      <w:pPr>
        <w:pStyle w:val="BodyText"/>
        <w:spacing w:before="88"/>
      </w:pPr>
    </w:p>
    <w:p>
      <w:pPr>
        <w:pStyle w:val="Heading4"/>
        <w:jc w:val="left"/>
      </w:pPr>
      <w:r>
        <w:rPr/>
        <w:t>CHARLAS</w:t>
      </w:r>
      <w:r>
        <w:rPr>
          <w:spacing w:val="-3"/>
        </w:rPr>
        <w:t> </w:t>
      </w:r>
      <w:r>
        <w:rPr/>
        <w:t>ALUMNOS DEL</w:t>
      </w:r>
      <w:r>
        <w:rPr>
          <w:spacing w:val="-1"/>
        </w:rPr>
        <w:t> </w:t>
      </w:r>
      <w:r>
        <w:rPr/>
        <w:t>GRADO</w:t>
      </w:r>
      <w:r>
        <w:rPr>
          <w:spacing w:val="-1"/>
        </w:rPr>
        <w:t> </w:t>
      </w:r>
      <w:r>
        <w:rPr/>
        <w:t>EN</w:t>
      </w:r>
      <w:r>
        <w:rPr>
          <w:spacing w:val="-1"/>
        </w:rPr>
        <w:t> </w:t>
      </w:r>
      <w:r>
        <w:rPr/>
        <w:t>QUÍMICA Y</w:t>
      </w:r>
      <w:r>
        <w:rPr>
          <w:spacing w:val="-2"/>
        </w:rPr>
        <w:t> </w:t>
      </w:r>
      <w:r>
        <w:rPr/>
        <w:t>CIENCIAS </w:t>
      </w:r>
      <w:r>
        <w:rPr>
          <w:spacing w:val="-2"/>
        </w:rPr>
        <w:t>AMBIENTALES</w:t>
      </w:r>
    </w:p>
    <w:p>
      <w:pPr>
        <w:pStyle w:val="BodyText"/>
        <w:spacing w:line="360" w:lineRule="auto" w:before="149"/>
        <w:ind w:left="164" w:right="752"/>
        <w:jc w:val="both"/>
      </w:pPr>
      <w:r>
        <w:rPr/>
        <w:t>La decana y los vocales, José L. Cruz</w:t>
      </w:r>
      <w:r>
        <w:rPr>
          <w:spacing w:val="-2"/>
        </w:rPr>
        <w:t> </w:t>
      </w:r>
      <w:r>
        <w:rPr/>
        <w:t>e</w:t>
      </w:r>
      <w:r>
        <w:rPr>
          <w:spacing w:val="-2"/>
        </w:rPr>
        <w:t> </w:t>
      </w:r>
      <w:r>
        <w:rPr/>
        <w:t>Iñigo</w:t>
      </w:r>
      <w:r>
        <w:rPr>
          <w:spacing w:val="-2"/>
        </w:rPr>
        <w:t> </w:t>
      </w:r>
      <w:r>
        <w:rPr/>
        <w:t>Jaudenes, realizan varias charlas a lo largo del año para</w:t>
      </w:r>
      <w:r>
        <w:rPr>
          <w:spacing w:val="-14"/>
        </w:rPr>
        <w:t> </w:t>
      </w:r>
      <w:r>
        <w:rPr/>
        <w:t>dar</w:t>
      </w:r>
      <w:r>
        <w:rPr>
          <w:spacing w:val="-14"/>
        </w:rPr>
        <w:t> </w:t>
      </w:r>
      <w:r>
        <w:rPr/>
        <w:t>a</w:t>
      </w:r>
      <w:r>
        <w:rPr>
          <w:spacing w:val="-13"/>
        </w:rPr>
        <w:t> </w:t>
      </w:r>
      <w:r>
        <w:rPr/>
        <w:t>conocer</w:t>
      </w:r>
      <w:r>
        <w:rPr>
          <w:spacing w:val="-14"/>
        </w:rPr>
        <w:t> </w:t>
      </w:r>
      <w:r>
        <w:rPr/>
        <w:t>la</w:t>
      </w:r>
      <w:r>
        <w:rPr>
          <w:spacing w:val="-13"/>
        </w:rPr>
        <w:t> </w:t>
      </w:r>
      <w:r>
        <w:rPr/>
        <w:t>labora</w:t>
      </w:r>
      <w:r>
        <w:rPr>
          <w:spacing w:val="-14"/>
        </w:rPr>
        <w:t> </w:t>
      </w:r>
      <w:r>
        <w:rPr/>
        <w:t>del</w:t>
      </w:r>
      <w:r>
        <w:rPr>
          <w:spacing w:val="-13"/>
        </w:rPr>
        <w:t> </w:t>
      </w:r>
      <w:r>
        <w:rPr/>
        <w:t>Colegio</w:t>
      </w:r>
      <w:r>
        <w:rPr>
          <w:spacing w:val="-14"/>
        </w:rPr>
        <w:t> </w:t>
      </w:r>
      <w:r>
        <w:rPr/>
        <w:t>y</w:t>
      </w:r>
      <w:r>
        <w:rPr>
          <w:spacing w:val="-14"/>
        </w:rPr>
        <w:t> </w:t>
      </w:r>
      <w:r>
        <w:rPr/>
        <w:t>explicar</w:t>
      </w:r>
      <w:r>
        <w:rPr>
          <w:spacing w:val="-13"/>
        </w:rPr>
        <w:t> </w:t>
      </w:r>
      <w:r>
        <w:rPr/>
        <w:t>las</w:t>
      </w:r>
      <w:r>
        <w:rPr>
          <w:spacing w:val="-14"/>
        </w:rPr>
        <w:t> </w:t>
      </w:r>
      <w:r>
        <w:rPr/>
        <w:t>salidas</w:t>
      </w:r>
      <w:r>
        <w:rPr>
          <w:spacing w:val="-13"/>
        </w:rPr>
        <w:t> </w:t>
      </w:r>
      <w:r>
        <w:rPr/>
        <w:t>profesionales</w:t>
      </w:r>
      <w:r>
        <w:rPr>
          <w:spacing w:val="-14"/>
        </w:rPr>
        <w:t> </w:t>
      </w:r>
      <w:r>
        <w:rPr/>
        <w:t>a</w:t>
      </w:r>
      <w:r>
        <w:rPr>
          <w:spacing w:val="-13"/>
        </w:rPr>
        <w:t> </w:t>
      </w:r>
      <w:r>
        <w:rPr/>
        <w:t>los</w:t>
      </w:r>
      <w:r>
        <w:rPr>
          <w:spacing w:val="-14"/>
        </w:rPr>
        <w:t> </w:t>
      </w:r>
      <w:r>
        <w:rPr/>
        <w:t>alumnos</w:t>
      </w:r>
      <w:r>
        <w:rPr>
          <w:spacing w:val="-14"/>
        </w:rPr>
        <w:t> </w:t>
      </w:r>
      <w:r>
        <w:rPr/>
        <w:t>que</w:t>
      </w:r>
      <w:r>
        <w:rPr>
          <w:spacing w:val="-13"/>
        </w:rPr>
        <w:t> </w:t>
      </w:r>
      <w:r>
        <w:rPr/>
        <w:t>están a punto de egresar.</w:t>
      </w:r>
    </w:p>
    <w:p>
      <w:pPr>
        <w:pStyle w:val="BodyText"/>
        <w:spacing w:before="260"/>
      </w:pPr>
    </w:p>
    <w:p>
      <w:pPr>
        <w:pStyle w:val="Heading4"/>
        <w:jc w:val="left"/>
      </w:pPr>
      <w:r>
        <w:rPr/>
        <w:t>II MINIOLIMPIADA CANARIA DE QUÍMICA –</w:t>
      </w:r>
      <w:r>
        <w:rPr>
          <w:spacing w:val="-1"/>
        </w:rPr>
        <w:t> </w:t>
      </w:r>
      <w:r>
        <w:rPr/>
        <w:t>FASE </w:t>
      </w:r>
      <w:r>
        <w:rPr>
          <w:spacing w:val="-2"/>
        </w:rPr>
        <w:t>PRESENCIAL</w:t>
      </w:r>
    </w:p>
    <w:p>
      <w:pPr>
        <w:pStyle w:val="BodyText"/>
        <w:spacing w:line="360" w:lineRule="auto" w:before="149"/>
        <w:ind w:left="165" w:right="752"/>
        <w:jc w:val="both"/>
      </w:pPr>
      <w:r>
        <w:rPr/>
        <w:t>El 3 de junio se celebró la fase presencial de la II Miniolimpiada Canaria de Química, reuniendo a jóvenes</w:t>
      </w:r>
      <w:r>
        <w:rPr>
          <w:spacing w:val="-14"/>
        </w:rPr>
        <w:t> </w:t>
      </w:r>
      <w:r>
        <w:rPr/>
        <w:t>talentos</w:t>
      </w:r>
      <w:r>
        <w:rPr>
          <w:spacing w:val="-14"/>
        </w:rPr>
        <w:t> </w:t>
      </w:r>
      <w:r>
        <w:rPr/>
        <w:t>de</w:t>
      </w:r>
      <w:r>
        <w:rPr>
          <w:spacing w:val="-13"/>
        </w:rPr>
        <w:t> </w:t>
      </w:r>
      <w:r>
        <w:rPr/>
        <w:t>distintas</w:t>
      </w:r>
      <w:r>
        <w:rPr>
          <w:spacing w:val="-14"/>
        </w:rPr>
        <w:t> </w:t>
      </w:r>
      <w:r>
        <w:rPr/>
        <w:t>islas.</w:t>
      </w:r>
      <w:r>
        <w:rPr>
          <w:spacing w:val="-13"/>
        </w:rPr>
        <w:t> </w:t>
      </w:r>
      <w:r>
        <w:rPr/>
        <w:t>El</w:t>
      </w:r>
      <w:r>
        <w:rPr>
          <w:spacing w:val="-14"/>
        </w:rPr>
        <w:t> </w:t>
      </w:r>
      <w:r>
        <w:rPr/>
        <w:t>acto</w:t>
      </w:r>
      <w:r>
        <w:rPr>
          <w:spacing w:val="-13"/>
        </w:rPr>
        <w:t> </w:t>
      </w:r>
      <w:r>
        <w:rPr/>
        <w:t>evidenció</w:t>
      </w:r>
      <w:r>
        <w:rPr>
          <w:spacing w:val="-14"/>
        </w:rPr>
        <w:t> </w:t>
      </w:r>
      <w:r>
        <w:rPr/>
        <w:t>la</w:t>
      </w:r>
      <w:r>
        <w:rPr>
          <w:spacing w:val="-14"/>
        </w:rPr>
        <w:t> </w:t>
      </w:r>
      <w:r>
        <w:rPr/>
        <w:t>consolidación</w:t>
      </w:r>
      <w:r>
        <w:rPr>
          <w:spacing w:val="-13"/>
        </w:rPr>
        <w:t> </w:t>
      </w:r>
      <w:r>
        <w:rPr/>
        <w:t>del</w:t>
      </w:r>
      <w:r>
        <w:rPr>
          <w:spacing w:val="-14"/>
        </w:rPr>
        <w:t> </w:t>
      </w:r>
      <w:r>
        <w:rPr/>
        <w:t>proyecto</w:t>
      </w:r>
      <w:r>
        <w:rPr>
          <w:spacing w:val="-13"/>
        </w:rPr>
        <w:t> </w:t>
      </w:r>
      <w:r>
        <w:rPr/>
        <w:t>y</w:t>
      </w:r>
      <w:r>
        <w:rPr>
          <w:spacing w:val="-14"/>
        </w:rPr>
        <w:t> </w:t>
      </w:r>
      <w:r>
        <w:rPr/>
        <w:t>la</w:t>
      </w:r>
      <w:r>
        <w:rPr>
          <w:spacing w:val="-13"/>
        </w:rPr>
        <w:t> </w:t>
      </w:r>
      <w:r>
        <w:rPr/>
        <w:t>colaboración con entidades científicas y educativas, entre ellas la Real Sociedad Española de Química.</w:t>
      </w:r>
    </w:p>
    <w:p>
      <w:pPr>
        <w:pStyle w:val="BodyText"/>
        <w:spacing w:after="0" w:line="360" w:lineRule="auto"/>
        <w:jc w:val="both"/>
        <w:sectPr>
          <w:pgSz w:w="11900" w:h="16840"/>
          <w:pgMar w:header="0" w:footer="516" w:top="1360" w:bottom="700" w:left="1275" w:right="283"/>
        </w:sectPr>
      </w:pPr>
    </w:p>
    <w:p>
      <w:pPr>
        <w:spacing w:line="240" w:lineRule="auto"/>
        <w:ind w:left="1350" w:right="0" w:firstLine="0"/>
        <w:rPr>
          <w:sz w:val="20"/>
        </w:rPr>
      </w:pPr>
      <w:r>
        <w:rPr>
          <w:sz w:val="20"/>
        </w:rPr>
        <w:drawing>
          <wp:inline distT="0" distB="0" distL="0" distR="0">
            <wp:extent cx="4537424" cy="3456432"/>
            <wp:effectExtent l="0" t="0" r="0" b="0"/>
            <wp:docPr id="22" name="Image 22"/>
            <wp:cNvGraphicFramePr>
              <a:graphicFrameLocks/>
            </wp:cNvGraphicFramePr>
            <a:graphic>
              <a:graphicData uri="http://schemas.openxmlformats.org/drawingml/2006/picture">
                <pic:pic>
                  <pic:nvPicPr>
                    <pic:cNvPr id="22" name="Image 22"/>
                    <pic:cNvPicPr/>
                  </pic:nvPicPr>
                  <pic:blipFill>
                    <a:blip r:embed="rId25" cstate="print"/>
                    <a:stretch>
                      <a:fillRect/>
                    </a:stretch>
                  </pic:blipFill>
                  <pic:spPr>
                    <a:xfrm>
                      <a:off x="0" y="0"/>
                      <a:ext cx="4537424" cy="3456432"/>
                    </a:xfrm>
                    <a:prstGeom prst="rect">
                      <a:avLst/>
                    </a:prstGeom>
                  </pic:spPr>
                </pic:pic>
              </a:graphicData>
            </a:graphic>
          </wp:inline>
        </w:drawing>
      </w:r>
      <w:r>
        <w:rPr>
          <w:sz w:val="20"/>
        </w:rPr>
      </w:r>
    </w:p>
    <w:p>
      <w:pPr>
        <w:pStyle w:val="BodyText"/>
      </w:pPr>
    </w:p>
    <w:p>
      <w:pPr>
        <w:pStyle w:val="BodyText"/>
        <w:spacing w:before="36"/>
      </w:pPr>
    </w:p>
    <w:p>
      <w:pPr>
        <w:pStyle w:val="Heading4"/>
        <w:ind w:left="266"/>
      </w:pPr>
      <w:r>
        <w:rPr/>
        <w:t>PRESENCIA EN MEDIOS Y</w:t>
      </w:r>
      <w:r>
        <w:rPr>
          <w:spacing w:val="-1"/>
        </w:rPr>
        <w:t> </w:t>
      </w:r>
      <w:r>
        <w:rPr/>
        <w:t>FOROS </w:t>
      </w:r>
      <w:r>
        <w:rPr>
          <w:spacing w:val="-2"/>
        </w:rPr>
        <w:t>SECTORIALES</w:t>
      </w:r>
    </w:p>
    <w:p>
      <w:pPr>
        <w:pStyle w:val="BodyText"/>
        <w:spacing w:line="360" w:lineRule="auto" w:before="149"/>
        <w:ind w:left="266" w:right="753"/>
        <w:jc w:val="both"/>
      </w:pPr>
      <w:r>
        <w:rPr/>
        <w:drawing>
          <wp:anchor distT="0" distB="0" distL="0" distR="0" allowOverlap="1" layoutInCell="1" locked="0" behindDoc="1" simplePos="0" relativeHeight="487593984">
            <wp:simplePos x="0" y="0"/>
            <wp:positionH relativeFrom="page">
              <wp:posOffset>987552</wp:posOffset>
            </wp:positionH>
            <wp:positionV relativeFrom="paragraph">
              <wp:posOffset>1494958</wp:posOffset>
            </wp:positionV>
            <wp:extent cx="6333744" cy="3212591"/>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26" cstate="print"/>
                    <a:stretch>
                      <a:fillRect/>
                    </a:stretch>
                  </pic:blipFill>
                  <pic:spPr>
                    <a:xfrm>
                      <a:off x="0" y="0"/>
                      <a:ext cx="6333744" cy="3212591"/>
                    </a:xfrm>
                    <a:prstGeom prst="rect">
                      <a:avLst/>
                    </a:prstGeom>
                  </pic:spPr>
                </pic:pic>
              </a:graphicData>
            </a:graphic>
          </wp:anchor>
        </w:drawing>
      </w:r>
      <w:r>
        <w:rPr/>
        <w:t>A lo largo del año, miembros de la Junta Directiva participaron en foros sectoriales y realizaron intervenciones en medios de comunicación, abordando cuestiones relacionadas con educación científica, transición ecológica, seguridad química e innovación industrial. Estas acciones contribuyen a visibilizar la profesión y reforzar el posicionamiento técnico del Colegio ante la </w:t>
      </w:r>
      <w:r>
        <w:rPr>
          <w:spacing w:val="-2"/>
        </w:rPr>
        <w:t>sociedad.</w:t>
      </w:r>
    </w:p>
    <w:p>
      <w:pPr>
        <w:pStyle w:val="BodyText"/>
        <w:spacing w:after="0" w:line="360" w:lineRule="auto"/>
        <w:jc w:val="both"/>
        <w:sectPr>
          <w:pgSz w:w="11900" w:h="16840"/>
          <w:pgMar w:header="0" w:footer="516" w:top="1380" w:bottom="700" w:left="1275" w:right="283"/>
        </w:sectPr>
      </w:pPr>
    </w:p>
    <w:p>
      <w:pPr>
        <w:pStyle w:val="BodyText"/>
        <w:rPr>
          <w:sz w:val="20"/>
        </w:rPr>
      </w:pPr>
      <w:r>
        <w:rPr>
          <w:sz w:val="20"/>
        </w:rPr>
        <mc:AlternateContent>
          <mc:Choice Requires="wps">
            <w:drawing>
              <wp:anchor distT="0" distB="0" distL="0" distR="0" allowOverlap="1" layoutInCell="1" locked="0" behindDoc="0" simplePos="0" relativeHeight="15735808">
                <wp:simplePos x="0" y="0"/>
                <wp:positionH relativeFrom="page">
                  <wp:posOffset>640080</wp:posOffset>
                </wp:positionH>
                <wp:positionV relativeFrom="page">
                  <wp:posOffset>850391</wp:posOffset>
                </wp:positionV>
                <wp:extent cx="6855459" cy="429196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6855459" cy="4291965"/>
                          <a:chExt cx="6855459" cy="4291965"/>
                        </a:xfrm>
                      </wpg:grpSpPr>
                      <pic:pic>
                        <pic:nvPicPr>
                          <pic:cNvPr id="25" name="Image 25"/>
                          <pic:cNvPicPr/>
                        </pic:nvPicPr>
                        <pic:blipFill>
                          <a:blip r:embed="rId27" cstate="print"/>
                          <a:stretch>
                            <a:fillRect/>
                          </a:stretch>
                        </pic:blipFill>
                        <pic:spPr>
                          <a:xfrm>
                            <a:off x="0" y="0"/>
                            <a:ext cx="3270504" cy="4291583"/>
                          </a:xfrm>
                          <a:prstGeom prst="rect">
                            <a:avLst/>
                          </a:prstGeom>
                        </pic:spPr>
                      </pic:pic>
                      <pic:pic>
                        <pic:nvPicPr>
                          <pic:cNvPr id="26" name="Image 26"/>
                          <pic:cNvPicPr/>
                        </pic:nvPicPr>
                        <pic:blipFill>
                          <a:blip r:embed="rId28" cstate="print"/>
                          <a:stretch>
                            <a:fillRect/>
                          </a:stretch>
                        </pic:blipFill>
                        <pic:spPr>
                          <a:xfrm>
                            <a:off x="3233927" y="1487424"/>
                            <a:ext cx="3621024" cy="2767583"/>
                          </a:xfrm>
                          <a:prstGeom prst="rect">
                            <a:avLst/>
                          </a:prstGeom>
                        </pic:spPr>
                      </pic:pic>
                    </wpg:wgp>
                  </a:graphicData>
                </a:graphic>
              </wp:anchor>
            </w:drawing>
          </mc:Choice>
          <mc:Fallback>
            <w:pict>
              <v:group style="position:absolute;margin-left:50.400002pt;margin-top:66.959999pt;width:539.8pt;height:337.95pt;mso-position-horizontal-relative:page;mso-position-vertical-relative:page;z-index:15735808" id="docshapegroup6" coordorigin="1008,1339" coordsize="10796,6759">
                <v:shape style="position:absolute;left:1008;top:1339;width:5151;height:6759" type="#_x0000_t75" id="docshape7" stroked="false">
                  <v:imagedata r:id="rId27" o:title=""/>
                </v:shape>
                <v:shape style="position:absolute;left:6100;top:3681;width:5703;height:4359" type="#_x0000_t75" id="docshape8" stroked="false">
                  <v:imagedata r:id="rId28" o:titl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4" w:after="1"/>
        <w:rPr>
          <w:sz w:val="20"/>
        </w:rPr>
      </w:pPr>
    </w:p>
    <w:p>
      <w:pPr>
        <w:spacing w:line="240" w:lineRule="auto"/>
        <w:ind w:left="-267" w:right="0" w:firstLine="0"/>
        <w:rPr>
          <w:sz w:val="20"/>
        </w:rPr>
      </w:pPr>
      <w:r>
        <w:rPr>
          <w:sz w:val="20"/>
        </w:rPr>
        <mc:AlternateContent>
          <mc:Choice Requires="wps">
            <w:drawing>
              <wp:inline distT="0" distB="0" distL="0" distR="0">
                <wp:extent cx="6632575" cy="2481580"/>
                <wp:effectExtent l="0" t="0" r="0" b="4444"/>
                <wp:docPr id="27" name="Group 27"/>
                <wp:cNvGraphicFramePr>
                  <a:graphicFrameLocks/>
                </wp:cNvGraphicFramePr>
                <a:graphic>
                  <a:graphicData uri="http://schemas.microsoft.com/office/word/2010/wordprocessingGroup">
                    <wpg:wgp>
                      <wpg:cNvPr id="27" name="Group 27"/>
                      <wpg:cNvGrpSpPr/>
                      <wpg:grpSpPr>
                        <a:xfrm>
                          <a:off x="0" y="0"/>
                          <a:ext cx="6632575" cy="2481580"/>
                          <a:chExt cx="6632575" cy="2481580"/>
                        </a:xfrm>
                      </wpg:grpSpPr>
                      <pic:pic>
                        <pic:nvPicPr>
                          <pic:cNvPr id="28" name="Image 28"/>
                          <pic:cNvPicPr/>
                        </pic:nvPicPr>
                        <pic:blipFill>
                          <a:blip r:embed="rId29" cstate="print"/>
                          <a:stretch>
                            <a:fillRect/>
                          </a:stretch>
                        </pic:blipFill>
                        <pic:spPr>
                          <a:xfrm>
                            <a:off x="0" y="0"/>
                            <a:ext cx="4242816" cy="2481072"/>
                          </a:xfrm>
                          <a:prstGeom prst="rect">
                            <a:avLst/>
                          </a:prstGeom>
                        </pic:spPr>
                      </pic:pic>
                      <pic:pic>
                        <pic:nvPicPr>
                          <pic:cNvPr id="29" name="Image 29"/>
                          <pic:cNvPicPr/>
                        </pic:nvPicPr>
                        <pic:blipFill>
                          <a:blip r:embed="rId30" cstate="print"/>
                          <a:stretch>
                            <a:fillRect/>
                          </a:stretch>
                        </pic:blipFill>
                        <pic:spPr>
                          <a:xfrm>
                            <a:off x="4264152" y="332231"/>
                            <a:ext cx="2368295" cy="2145792"/>
                          </a:xfrm>
                          <a:prstGeom prst="rect">
                            <a:avLst/>
                          </a:prstGeom>
                        </pic:spPr>
                      </pic:pic>
                    </wpg:wgp>
                  </a:graphicData>
                </a:graphic>
              </wp:inline>
            </w:drawing>
          </mc:Choice>
          <mc:Fallback>
            <w:pict>
              <v:group style="width:522.25pt;height:195.4pt;mso-position-horizontal-relative:char;mso-position-vertical-relative:line" id="docshapegroup9" coordorigin="0,0" coordsize="10445,3908">
                <v:shape style="position:absolute;left:0;top:0;width:6682;height:3908" type="#_x0000_t75" id="docshape10" stroked="false">
                  <v:imagedata r:id="rId29" o:title=""/>
                </v:shape>
                <v:shape style="position:absolute;left:6715;top:523;width:3730;height:3380" type="#_x0000_t75" id="docshape11" stroked="false">
                  <v:imagedata r:id="rId30" o:title=""/>
                </v:shape>
              </v:group>
            </w:pict>
          </mc:Fallback>
        </mc:AlternateContent>
      </w:r>
      <w:r>
        <w:rPr>
          <w:sz w:val="20"/>
        </w:rPr>
      </w:r>
    </w:p>
    <w:p>
      <w:pPr>
        <w:pStyle w:val="BodyText"/>
        <w:spacing w:before="250"/>
      </w:pPr>
    </w:p>
    <w:p>
      <w:pPr>
        <w:pStyle w:val="Heading4"/>
      </w:pPr>
      <w:r>
        <w:rPr/>
        <w:t>ENTREGA DE </w:t>
      </w:r>
      <w:r>
        <w:rPr>
          <w:spacing w:val="-2"/>
        </w:rPr>
        <w:t>ORLAS</w:t>
      </w:r>
    </w:p>
    <w:p>
      <w:pPr>
        <w:pStyle w:val="BodyText"/>
        <w:spacing w:line="360" w:lineRule="auto"/>
        <w:ind w:left="165" w:right="750"/>
        <w:jc w:val="both"/>
      </w:pPr>
      <w:r>
        <w:rPr/>
        <w:t>Asistencia</w:t>
      </w:r>
      <w:r>
        <w:rPr>
          <w:spacing w:val="-3"/>
        </w:rPr>
        <w:t> </w:t>
      </w:r>
      <w:r>
        <w:rPr/>
        <w:t>de</w:t>
      </w:r>
      <w:r>
        <w:rPr>
          <w:spacing w:val="-3"/>
        </w:rPr>
        <w:t> </w:t>
      </w:r>
      <w:r>
        <w:rPr/>
        <w:t>la</w:t>
      </w:r>
      <w:r>
        <w:rPr>
          <w:spacing w:val="-3"/>
        </w:rPr>
        <w:t> </w:t>
      </w:r>
      <w:r>
        <w:rPr/>
        <w:t>decana,</w:t>
      </w:r>
      <w:r>
        <w:rPr>
          <w:spacing w:val="-3"/>
        </w:rPr>
        <w:t> </w:t>
      </w:r>
      <w:r>
        <w:rPr/>
        <w:t>Candelaria</w:t>
      </w:r>
      <w:r>
        <w:rPr>
          <w:spacing w:val="-3"/>
        </w:rPr>
        <w:t> </w:t>
      </w:r>
      <w:r>
        <w:rPr/>
        <w:t>Sánchez,</w:t>
      </w:r>
      <w:r>
        <w:rPr>
          <w:spacing w:val="-3"/>
        </w:rPr>
        <w:t> </w:t>
      </w:r>
      <w:r>
        <w:rPr/>
        <w:t>a</w:t>
      </w:r>
      <w:r>
        <w:rPr>
          <w:spacing w:val="-3"/>
        </w:rPr>
        <w:t> </w:t>
      </w:r>
      <w:r>
        <w:rPr/>
        <w:t>la</w:t>
      </w:r>
      <w:r>
        <w:rPr>
          <w:spacing w:val="-3"/>
        </w:rPr>
        <w:t> </w:t>
      </w:r>
      <w:r>
        <w:rPr/>
        <w:t>entrega</w:t>
      </w:r>
      <w:r>
        <w:rPr>
          <w:spacing w:val="-3"/>
        </w:rPr>
        <w:t> </w:t>
      </w:r>
      <w:r>
        <w:rPr/>
        <w:t>de</w:t>
      </w:r>
      <w:r>
        <w:rPr>
          <w:spacing w:val="-3"/>
        </w:rPr>
        <w:t> </w:t>
      </w:r>
      <w:r>
        <w:rPr/>
        <w:t>orlas</w:t>
      </w:r>
      <w:r>
        <w:rPr>
          <w:spacing w:val="-3"/>
        </w:rPr>
        <w:t> </w:t>
      </w:r>
      <w:r>
        <w:rPr/>
        <w:t>a</w:t>
      </w:r>
      <w:r>
        <w:rPr>
          <w:spacing w:val="-3"/>
        </w:rPr>
        <w:t> </w:t>
      </w:r>
      <w:r>
        <w:rPr/>
        <w:t>los</w:t>
      </w:r>
      <w:r>
        <w:rPr>
          <w:spacing w:val="-3"/>
        </w:rPr>
        <w:t> </w:t>
      </w:r>
      <w:r>
        <w:rPr/>
        <w:t>Graduados/as</w:t>
      </w:r>
      <w:r>
        <w:rPr>
          <w:spacing w:val="-3"/>
        </w:rPr>
        <w:t> </w:t>
      </w:r>
      <w:r>
        <w:rPr/>
        <w:t>en</w:t>
      </w:r>
      <w:r>
        <w:rPr>
          <w:spacing w:val="-3"/>
        </w:rPr>
        <w:t> </w:t>
      </w:r>
      <w:r>
        <w:rPr/>
        <w:t>Química y Ciencias ambientales de la Facultad de Ciencias de la Universidad de La Laguna (ULL). También del Grado de Ingeniería Química por la Escuela de Ingenierías Industriales y Civiles (EIIC) de Universidad de Las Palmas de Gran Canaria (ULPGC).</w:t>
      </w:r>
    </w:p>
    <w:p>
      <w:pPr>
        <w:pStyle w:val="BodyText"/>
        <w:spacing w:after="0" w:line="360" w:lineRule="auto"/>
        <w:jc w:val="both"/>
        <w:sectPr>
          <w:pgSz w:w="11900" w:h="16840"/>
          <w:pgMar w:header="0" w:footer="516" w:top="1340" w:bottom="700" w:left="1275" w:right="283"/>
        </w:sectPr>
      </w:pPr>
    </w:p>
    <w:p>
      <w:pPr>
        <w:spacing w:line="240" w:lineRule="auto"/>
        <w:ind w:left="745" w:right="0" w:firstLine="0"/>
        <w:rPr>
          <w:sz w:val="20"/>
        </w:rPr>
      </w:pPr>
      <w:r>
        <w:rPr>
          <w:sz w:val="20"/>
        </w:rPr>
        <w:drawing>
          <wp:inline distT="0" distB="0" distL="0" distR="0">
            <wp:extent cx="5317939" cy="3584448"/>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31" cstate="print"/>
                    <a:stretch>
                      <a:fillRect/>
                    </a:stretch>
                  </pic:blipFill>
                  <pic:spPr>
                    <a:xfrm>
                      <a:off x="0" y="0"/>
                      <a:ext cx="5317939" cy="3584448"/>
                    </a:xfrm>
                    <a:prstGeom prst="rect">
                      <a:avLst/>
                    </a:prstGeom>
                  </pic:spPr>
                </pic:pic>
              </a:graphicData>
            </a:graphic>
          </wp:inline>
        </w:drawing>
      </w:r>
      <w:r>
        <w:rPr>
          <w:sz w:val="20"/>
        </w:rPr>
      </w:r>
    </w:p>
    <w:p>
      <w:pPr>
        <w:pStyle w:val="BodyText"/>
        <w:spacing w:before="34"/>
      </w:pPr>
    </w:p>
    <w:p>
      <w:pPr>
        <w:pStyle w:val="Heading4"/>
        <w:ind w:left="266"/>
      </w:pPr>
      <w:r>
        <w:rPr/>
        <w:t>APERTURA</w:t>
      </w:r>
      <w:r>
        <w:rPr>
          <w:spacing w:val="-2"/>
        </w:rPr>
        <w:t> </w:t>
      </w:r>
      <w:r>
        <w:rPr/>
        <w:t>DEL</w:t>
      </w:r>
      <w:r>
        <w:rPr>
          <w:spacing w:val="-1"/>
        </w:rPr>
        <w:t> </w:t>
      </w:r>
      <w:r>
        <w:rPr/>
        <w:t>AÑO</w:t>
      </w:r>
      <w:r>
        <w:rPr>
          <w:spacing w:val="-3"/>
        </w:rPr>
        <w:t> </w:t>
      </w:r>
      <w:r>
        <w:rPr/>
        <w:t>ACADÉMICO</w:t>
      </w:r>
      <w:r>
        <w:rPr>
          <w:spacing w:val="-2"/>
        </w:rPr>
        <w:t> </w:t>
      </w:r>
      <w:r>
        <w:rPr/>
        <w:t>EN</w:t>
      </w:r>
      <w:r>
        <w:rPr>
          <w:spacing w:val="-2"/>
        </w:rPr>
        <w:t> </w:t>
      </w:r>
      <w:r>
        <w:rPr/>
        <w:t>LAS</w:t>
      </w:r>
      <w:r>
        <w:rPr>
          <w:spacing w:val="-1"/>
        </w:rPr>
        <w:t> </w:t>
      </w:r>
      <w:r>
        <w:rPr/>
        <w:t>UNIVERSIDADES</w:t>
      </w:r>
      <w:r>
        <w:rPr>
          <w:spacing w:val="-1"/>
        </w:rPr>
        <w:t> </w:t>
      </w:r>
      <w:r>
        <w:rPr>
          <w:spacing w:val="-2"/>
        </w:rPr>
        <w:t>CANARIAS</w:t>
      </w:r>
    </w:p>
    <w:p>
      <w:pPr>
        <w:pStyle w:val="BodyText"/>
        <w:spacing w:line="360" w:lineRule="auto" w:before="149"/>
        <w:ind w:left="266" w:right="751"/>
        <w:jc w:val="both"/>
      </w:pPr>
      <w:r>
        <w:rPr/>
        <mc:AlternateContent>
          <mc:Choice Requires="wps">
            <w:drawing>
              <wp:anchor distT="0" distB="0" distL="0" distR="0" allowOverlap="1" layoutInCell="1" locked="0" behindDoc="1" simplePos="0" relativeHeight="487595520">
                <wp:simplePos x="0" y="0"/>
                <wp:positionH relativeFrom="page">
                  <wp:posOffset>993647</wp:posOffset>
                </wp:positionH>
                <wp:positionV relativeFrom="paragraph">
                  <wp:posOffset>947013</wp:posOffset>
                </wp:positionV>
                <wp:extent cx="5992495" cy="4444365"/>
                <wp:effectExtent l="0" t="0" r="0" b="0"/>
                <wp:wrapTopAndBottom/>
                <wp:docPr id="31" name="Group 31"/>
                <wp:cNvGraphicFramePr>
                  <a:graphicFrameLocks/>
                </wp:cNvGraphicFramePr>
                <a:graphic>
                  <a:graphicData uri="http://schemas.microsoft.com/office/word/2010/wordprocessingGroup">
                    <wpg:wgp>
                      <wpg:cNvPr id="31" name="Group 31"/>
                      <wpg:cNvGrpSpPr/>
                      <wpg:grpSpPr>
                        <a:xfrm>
                          <a:off x="0" y="0"/>
                          <a:ext cx="5992495" cy="4444365"/>
                          <a:chExt cx="5992495" cy="4444365"/>
                        </a:xfrm>
                      </wpg:grpSpPr>
                      <pic:pic>
                        <pic:nvPicPr>
                          <pic:cNvPr id="32" name="Image 32"/>
                          <pic:cNvPicPr/>
                        </pic:nvPicPr>
                        <pic:blipFill>
                          <a:blip r:embed="rId32" cstate="print"/>
                          <a:stretch>
                            <a:fillRect/>
                          </a:stretch>
                        </pic:blipFill>
                        <pic:spPr>
                          <a:xfrm>
                            <a:off x="0" y="0"/>
                            <a:ext cx="2593848" cy="4443983"/>
                          </a:xfrm>
                          <a:prstGeom prst="rect">
                            <a:avLst/>
                          </a:prstGeom>
                        </pic:spPr>
                      </pic:pic>
                      <pic:pic>
                        <pic:nvPicPr>
                          <pic:cNvPr id="33" name="Image 33"/>
                          <pic:cNvPicPr/>
                        </pic:nvPicPr>
                        <pic:blipFill>
                          <a:blip r:embed="rId33" cstate="print"/>
                          <a:stretch>
                            <a:fillRect/>
                          </a:stretch>
                        </pic:blipFill>
                        <pic:spPr>
                          <a:xfrm>
                            <a:off x="2636520" y="6095"/>
                            <a:ext cx="3355847" cy="4404360"/>
                          </a:xfrm>
                          <a:prstGeom prst="rect">
                            <a:avLst/>
                          </a:prstGeom>
                        </pic:spPr>
                      </pic:pic>
                    </wpg:wgp>
                  </a:graphicData>
                </a:graphic>
              </wp:anchor>
            </w:drawing>
          </mc:Choice>
          <mc:Fallback>
            <w:pict>
              <v:group style="position:absolute;margin-left:78.239998pt;margin-top:74.56797pt;width:471.85pt;height:349.95pt;mso-position-horizontal-relative:page;mso-position-vertical-relative:paragraph;z-index:-15720960;mso-wrap-distance-left:0;mso-wrap-distance-right:0" id="docshapegroup12" coordorigin="1565,1491" coordsize="9437,6999">
                <v:shape style="position:absolute;left:1564;top:1491;width:4085;height:6999" type="#_x0000_t75" id="docshape13" stroked="false">
                  <v:imagedata r:id="rId32" o:title=""/>
                </v:shape>
                <v:shape style="position:absolute;left:5716;top:1500;width:5285;height:6936" type="#_x0000_t75" id="docshape14" stroked="false">
                  <v:imagedata r:id="rId33" o:title=""/>
                </v:shape>
                <w10:wrap type="topAndBottom"/>
              </v:group>
            </w:pict>
          </mc:Fallback>
        </mc:AlternateContent>
      </w:r>
      <w:r>
        <w:rPr/>
        <w:t>Asistencia de nuestra decana al Acto de apertura de la Universidad de La Laguna el 12 de septiembre y al Acto de apertura de la Universidad de Las Palmas de Gran Canaria el 18 de </w:t>
      </w:r>
      <w:r>
        <w:rPr>
          <w:spacing w:val="-2"/>
        </w:rPr>
        <w:t>septiembre.</w:t>
      </w:r>
    </w:p>
    <w:p>
      <w:pPr>
        <w:pStyle w:val="BodyText"/>
        <w:spacing w:after="0" w:line="360" w:lineRule="auto"/>
        <w:jc w:val="both"/>
        <w:sectPr>
          <w:pgSz w:w="11900" w:h="16840"/>
          <w:pgMar w:header="0" w:footer="516" w:top="1340" w:bottom="700" w:left="1275" w:right="283"/>
        </w:sectPr>
      </w:pPr>
    </w:p>
    <w:p>
      <w:pPr>
        <w:pStyle w:val="Heading4"/>
        <w:spacing w:before="81"/>
        <w:ind w:left="266"/>
        <w:jc w:val="left"/>
      </w:pPr>
      <w:r>
        <w:rPr/>
        <w:t>ASAMBLEA</w:t>
      </w:r>
      <w:r>
        <w:rPr>
          <w:spacing w:val="-1"/>
        </w:rPr>
        <w:t> </w:t>
      </w:r>
      <w:r>
        <w:rPr/>
        <w:t>ACP</w:t>
      </w:r>
      <w:r>
        <w:rPr>
          <w:spacing w:val="-1"/>
        </w:rPr>
        <w:t> </w:t>
      </w:r>
      <w:r>
        <w:rPr/>
        <w:t>CANARIAS</w:t>
      </w:r>
      <w:r>
        <w:rPr>
          <w:spacing w:val="-1"/>
        </w:rPr>
        <w:t> </w:t>
      </w:r>
      <w:r>
        <w:rPr/>
        <w:t>–</w:t>
      </w:r>
      <w:r>
        <w:rPr>
          <w:spacing w:val="-1"/>
        </w:rPr>
        <w:t> </w:t>
      </w:r>
      <w:r>
        <w:rPr/>
        <w:t>INCORPORACIÓN A</w:t>
      </w:r>
      <w:r>
        <w:rPr>
          <w:spacing w:val="-1"/>
        </w:rPr>
        <w:t> </w:t>
      </w:r>
      <w:r>
        <w:rPr/>
        <w:t>LA JUNTA </w:t>
      </w:r>
      <w:r>
        <w:rPr>
          <w:spacing w:val="-2"/>
        </w:rPr>
        <w:t>DIRECTIVA</w:t>
      </w:r>
    </w:p>
    <w:p>
      <w:pPr>
        <w:pStyle w:val="BodyText"/>
        <w:spacing w:line="360" w:lineRule="auto" w:before="148"/>
        <w:ind w:left="266" w:right="752"/>
        <w:jc w:val="both"/>
      </w:pPr>
      <w:r>
        <w:rPr/>
        <w:t>El 2 de octubre, la Decana participó en la Asamblea de la Asociación de Colegios Profesionales de Canarias, incorporándose como vocal a su Junta Directiva. Esta responsabilidad refuerza la presencia del Colegio en el ámbito intercolegial y autonómico.</w:t>
      </w:r>
    </w:p>
    <w:p>
      <w:pPr>
        <w:pStyle w:val="BodyText"/>
        <w:spacing w:before="68"/>
        <w:rPr>
          <w:sz w:val="20"/>
        </w:rPr>
      </w:pPr>
      <w:r>
        <w:rPr>
          <w:sz w:val="20"/>
        </w:rPr>
        <w:drawing>
          <wp:anchor distT="0" distB="0" distL="0" distR="0" allowOverlap="1" layoutInCell="1" locked="0" behindDoc="1" simplePos="0" relativeHeight="487596032">
            <wp:simplePos x="0" y="0"/>
            <wp:positionH relativeFrom="page">
              <wp:posOffset>1987295</wp:posOffset>
            </wp:positionH>
            <wp:positionV relativeFrom="paragraph">
              <wp:posOffset>213659</wp:posOffset>
            </wp:positionV>
            <wp:extent cx="3849624" cy="2938272"/>
            <wp:effectExtent l="0" t="0" r="0" b="0"/>
            <wp:wrapTopAndBottom/>
            <wp:docPr id="34" name="Image 34"/>
            <wp:cNvGraphicFramePr>
              <a:graphicFrameLocks/>
            </wp:cNvGraphicFramePr>
            <a:graphic>
              <a:graphicData uri="http://schemas.openxmlformats.org/drawingml/2006/picture">
                <pic:pic>
                  <pic:nvPicPr>
                    <pic:cNvPr id="34" name="Image 34"/>
                    <pic:cNvPicPr/>
                  </pic:nvPicPr>
                  <pic:blipFill>
                    <a:blip r:embed="rId34" cstate="print"/>
                    <a:stretch>
                      <a:fillRect/>
                    </a:stretch>
                  </pic:blipFill>
                  <pic:spPr>
                    <a:xfrm>
                      <a:off x="0" y="0"/>
                      <a:ext cx="3849624" cy="2938272"/>
                    </a:xfrm>
                    <a:prstGeom prst="rect">
                      <a:avLst/>
                    </a:prstGeom>
                  </pic:spPr>
                </pic:pic>
              </a:graphicData>
            </a:graphic>
          </wp:anchor>
        </w:drawing>
      </w:r>
    </w:p>
    <w:p>
      <w:pPr>
        <w:pStyle w:val="BodyText"/>
        <w:spacing w:before="150"/>
      </w:pPr>
    </w:p>
    <w:p>
      <w:pPr>
        <w:pStyle w:val="Heading4"/>
        <w:jc w:val="left"/>
      </w:pPr>
      <w:r>
        <w:rPr/>
        <w:t>II</w:t>
      </w:r>
      <w:r>
        <w:rPr>
          <w:spacing w:val="-1"/>
        </w:rPr>
        <w:t> </w:t>
      </w:r>
      <w:r>
        <w:rPr/>
        <w:t>JUNTA GENERAL ORDINARIA </w:t>
      </w:r>
      <w:r>
        <w:rPr>
          <w:spacing w:val="-4"/>
        </w:rPr>
        <w:t>2025</w:t>
      </w:r>
    </w:p>
    <w:p>
      <w:pPr>
        <w:pStyle w:val="BodyText"/>
        <w:spacing w:line="360" w:lineRule="auto"/>
        <w:ind w:left="165" w:right="753"/>
        <w:jc w:val="both"/>
      </w:pPr>
      <w:r>
        <w:rPr/>
        <w:t>El</w:t>
      </w:r>
      <w:r>
        <w:rPr>
          <w:spacing w:val="-7"/>
        </w:rPr>
        <w:t> </w:t>
      </w:r>
      <w:r>
        <w:rPr/>
        <w:t>20</w:t>
      </w:r>
      <w:r>
        <w:rPr>
          <w:spacing w:val="-7"/>
        </w:rPr>
        <w:t> </w:t>
      </w:r>
      <w:r>
        <w:rPr/>
        <w:t>de</w:t>
      </w:r>
      <w:r>
        <w:rPr>
          <w:spacing w:val="-7"/>
        </w:rPr>
        <w:t> </w:t>
      </w:r>
      <w:r>
        <w:rPr/>
        <w:t>octubre</w:t>
      </w:r>
      <w:r>
        <w:rPr>
          <w:spacing w:val="-7"/>
        </w:rPr>
        <w:t> </w:t>
      </w:r>
      <w:r>
        <w:rPr/>
        <w:t>se</w:t>
      </w:r>
      <w:r>
        <w:rPr>
          <w:spacing w:val="-7"/>
        </w:rPr>
        <w:t> </w:t>
      </w:r>
      <w:r>
        <w:rPr/>
        <w:t>celebró</w:t>
      </w:r>
      <w:r>
        <w:rPr>
          <w:spacing w:val="-7"/>
        </w:rPr>
        <w:t> </w:t>
      </w:r>
      <w:r>
        <w:rPr/>
        <w:t>la</w:t>
      </w:r>
      <w:r>
        <w:rPr>
          <w:spacing w:val="-7"/>
        </w:rPr>
        <w:t> </w:t>
      </w:r>
      <w:r>
        <w:rPr/>
        <w:t>segunda</w:t>
      </w:r>
      <w:r>
        <w:rPr>
          <w:spacing w:val="-7"/>
        </w:rPr>
        <w:t> </w:t>
      </w:r>
      <w:r>
        <w:rPr/>
        <w:t>Junta</w:t>
      </w:r>
      <w:r>
        <w:rPr>
          <w:spacing w:val="-7"/>
        </w:rPr>
        <w:t> </w:t>
      </w:r>
      <w:r>
        <w:rPr/>
        <w:t>General</w:t>
      </w:r>
      <w:r>
        <w:rPr>
          <w:spacing w:val="-7"/>
        </w:rPr>
        <w:t> </w:t>
      </w:r>
      <w:r>
        <w:rPr/>
        <w:t>Ordinaria</w:t>
      </w:r>
      <w:r>
        <w:rPr>
          <w:spacing w:val="-7"/>
        </w:rPr>
        <w:t> </w:t>
      </w:r>
      <w:r>
        <w:rPr/>
        <w:t>del</w:t>
      </w:r>
      <w:r>
        <w:rPr>
          <w:spacing w:val="-7"/>
        </w:rPr>
        <w:t> </w:t>
      </w:r>
      <w:r>
        <w:rPr/>
        <w:t>Colegio</w:t>
      </w:r>
      <w:r>
        <w:rPr>
          <w:spacing w:val="-7"/>
        </w:rPr>
        <w:t> </w:t>
      </w:r>
      <w:r>
        <w:rPr/>
        <w:t>Oficial</w:t>
      </w:r>
      <w:r>
        <w:rPr>
          <w:spacing w:val="-7"/>
        </w:rPr>
        <w:t> </w:t>
      </w:r>
      <w:r>
        <w:rPr/>
        <w:t>de</w:t>
      </w:r>
      <w:r>
        <w:rPr>
          <w:spacing w:val="-7"/>
        </w:rPr>
        <w:t> </w:t>
      </w:r>
      <w:r>
        <w:rPr/>
        <w:t>Químicos</w:t>
      </w:r>
      <w:r>
        <w:rPr>
          <w:spacing w:val="-7"/>
        </w:rPr>
        <w:t> </w:t>
      </w:r>
      <w:r>
        <w:rPr/>
        <w:t>de Canarias del año. En esta sesión se aprobarán los presupuestos para el próximo ejercicio y se ratificarán los premios y distinciones que se entregarán en los actos de San Alberto Magno.</w:t>
      </w:r>
    </w:p>
    <w:p>
      <w:pPr>
        <w:pStyle w:val="BodyText"/>
        <w:spacing w:before="1"/>
      </w:pPr>
    </w:p>
    <w:p>
      <w:pPr>
        <w:pStyle w:val="Heading4"/>
        <w:spacing w:before="1"/>
        <w:ind w:left="266"/>
        <w:jc w:val="left"/>
      </w:pPr>
      <w:r>
        <w:rPr/>
        <w:t>III EDICIÓN PREMIOS FERIAS DE LA CIENCIA DE LA </w:t>
      </w:r>
      <w:r>
        <w:rPr>
          <w:spacing w:val="-2"/>
        </w:rPr>
        <w:t>OROTAVA</w:t>
      </w:r>
    </w:p>
    <w:p>
      <w:pPr>
        <w:pStyle w:val="BodyText"/>
        <w:spacing w:before="12"/>
        <w:rPr>
          <w:b/>
          <w:sz w:val="20"/>
        </w:rPr>
      </w:pPr>
      <w:r>
        <w:rPr>
          <w:b/>
          <w:sz w:val="20"/>
        </w:rPr>
        <w:drawing>
          <wp:anchor distT="0" distB="0" distL="0" distR="0" allowOverlap="1" layoutInCell="1" locked="0" behindDoc="1" simplePos="0" relativeHeight="487596544">
            <wp:simplePos x="0" y="0"/>
            <wp:positionH relativeFrom="page">
              <wp:posOffset>2078735</wp:posOffset>
            </wp:positionH>
            <wp:positionV relativeFrom="paragraph">
              <wp:posOffset>177889</wp:posOffset>
            </wp:positionV>
            <wp:extent cx="3657600" cy="2798064"/>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35" cstate="print"/>
                    <a:stretch>
                      <a:fillRect/>
                    </a:stretch>
                  </pic:blipFill>
                  <pic:spPr>
                    <a:xfrm>
                      <a:off x="0" y="0"/>
                      <a:ext cx="3657600" cy="2798064"/>
                    </a:xfrm>
                    <a:prstGeom prst="rect">
                      <a:avLst/>
                    </a:prstGeom>
                  </pic:spPr>
                </pic:pic>
              </a:graphicData>
            </a:graphic>
          </wp:anchor>
        </w:drawing>
      </w:r>
    </w:p>
    <w:p>
      <w:pPr>
        <w:pStyle w:val="BodyText"/>
        <w:spacing w:after="0"/>
        <w:rPr>
          <w:b/>
          <w:sz w:val="20"/>
        </w:rPr>
        <w:sectPr>
          <w:pgSz w:w="11900" w:h="16840"/>
          <w:pgMar w:header="0" w:footer="516" w:top="1260" w:bottom="700" w:left="1275" w:right="283"/>
        </w:sectPr>
      </w:pPr>
    </w:p>
    <w:p>
      <w:pPr>
        <w:pStyle w:val="BodyText"/>
        <w:spacing w:line="360" w:lineRule="auto" w:before="81"/>
        <w:ind w:left="325" w:right="1372" w:hanging="1"/>
        <w:jc w:val="both"/>
      </w:pPr>
      <w:r>
        <w:rPr/>
        <w:t>El Colegio Oficial de Químicos de Canarias, representado por su decana, Candelaria Sánchez,</w:t>
      </w:r>
      <w:r>
        <w:rPr>
          <w:spacing w:val="-4"/>
        </w:rPr>
        <w:t> </w:t>
      </w:r>
      <w:r>
        <w:rPr/>
        <w:t>invitado</w:t>
      </w:r>
      <w:r>
        <w:rPr>
          <w:spacing w:val="-4"/>
        </w:rPr>
        <w:t> </w:t>
      </w:r>
      <w:r>
        <w:rPr/>
        <w:t>a</w:t>
      </w:r>
      <w:r>
        <w:rPr>
          <w:spacing w:val="-4"/>
        </w:rPr>
        <w:t> </w:t>
      </w:r>
      <w:r>
        <w:rPr/>
        <w:t>la</w:t>
      </w:r>
      <w:r>
        <w:rPr>
          <w:spacing w:val="-4"/>
        </w:rPr>
        <w:t> </w:t>
      </w:r>
      <w:r>
        <w:rPr/>
        <w:t>celebración</w:t>
      </w:r>
      <w:r>
        <w:rPr>
          <w:spacing w:val="-4"/>
        </w:rPr>
        <w:t> </w:t>
      </w:r>
      <w:r>
        <w:rPr/>
        <w:t>de</w:t>
      </w:r>
      <w:r>
        <w:rPr>
          <w:spacing w:val="-4"/>
        </w:rPr>
        <w:t> </w:t>
      </w:r>
      <w:r>
        <w:rPr/>
        <w:t>la</w:t>
      </w:r>
      <w:r>
        <w:rPr>
          <w:spacing w:val="-4"/>
        </w:rPr>
        <w:t> </w:t>
      </w:r>
      <w:r>
        <w:rPr/>
        <w:t>III</w:t>
      </w:r>
      <w:r>
        <w:rPr>
          <w:spacing w:val="-2"/>
        </w:rPr>
        <w:t> </w:t>
      </w:r>
      <w:r>
        <w:rPr/>
        <w:t>Edición</w:t>
      </w:r>
      <w:r>
        <w:rPr>
          <w:spacing w:val="-4"/>
        </w:rPr>
        <w:t> </w:t>
      </w:r>
      <w:r>
        <w:rPr/>
        <w:t>de</w:t>
      </w:r>
      <w:r>
        <w:rPr>
          <w:spacing w:val="-4"/>
        </w:rPr>
        <w:t> </w:t>
      </w:r>
      <w:r>
        <w:rPr/>
        <w:t>los</w:t>
      </w:r>
      <w:r>
        <w:rPr>
          <w:spacing w:val="-4"/>
        </w:rPr>
        <w:t> </w:t>
      </w:r>
      <w:r>
        <w:rPr/>
        <w:t>Premios</w:t>
      </w:r>
      <w:r>
        <w:rPr>
          <w:spacing w:val="-4"/>
        </w:rPr>
        <w:t> </w:t>
      </w:r>
      <w:r>
        <w:rPr/>
        <w:t>Feria</w:t>
      </w:r>
      <w:r>
        <w:rPr>
          <w:spacing w:val="-4"/>
        </w:rPr>
        <w:t> </w:t>
      </w:r>
      <w:r>
        <w:rPr/>
        <w:t>de</w:t>
      </w:r>
      <w:r>
        <w:rPr>
          <w:spacing w:val="-4"/>
        </w:rPr>
        <w:t> </w:t>
      </w:r>
      <w:r>
        <w:rPr/>
        <w:t>la</w:t>
      </w:r>
      <w:r>
        <w:rPr>
          <w:spacing w:val="-4"/>
        </w:rPr>
        <w:t> </w:t>
      </w:r>
      <w:r>
        <w:rPr/>
        <w:t>Ciencia</w:t>
      </w:r>
      <w:r>
        <w:rPr>
          <w:spacing w:val="-4"/>
        </w:rPr>
        <w:t> </w:t>
      </w:r>
      <w:r>
        <w:rPr/>
        <w:t>de</w:t>
      </w:r>
      <w:r>
        <w:rPr>
          <w:spacing w:val="-4"/>
        </w:rPr>
        <w:t> </w:t>
      </w:r>
      <w:r>
        <w:rPr/>
        <w:t>La Orotava, que se celebraron el 6 de noviembre, en el Ayuntamiento de La Orotava.</w:t>
      </w:r>
    </w:p>
    <w:p>
      <w:pPr>
        <w:pStyle w:val="BodyText"/>
        <w:spacing w:before="183"/>
      </w:pPr>
    </w:p>
    <w:p>
      <w:pPr>
        <w:pStyle w:val="Heading4"/>
        <w:spacing w:before="1"/>
        <w:ind w:left="266"/>
      </w:pPr>
      <w:r>
        <w:rPr/>
        <w:t>FERIA DE LA CIENCIA DE LA </w:t>
      </w:r>
      <w:r>
        <w:rPr>
          <w:spacing w:val="-2"/>
        </w:rPr>
        <w:t>OROTAVA</w:t>
      </w:r>
    </w:p>
    <w:p>
      <w:pPr>
        <w:pStyle w:val="BodyText"/>
        <w:spacing w:before="2"/>
        <w:rPr>
          <w:b/>
          <w:sz w:val="13"/>
        </w:rPr>
      </w:pPr>
      <w:r>
        <w:rPr>
          <w:b/>
          <w:sz w:val="13"/>
        </w:rPr>
        <w:drawing>
          <wp:anchor distT="0" distB="0" distL="0" distR="0" allowOverlap="1" layoutInCell="1" locked="0" behindDoc="1" simplePos="0" relativeHeight="487597056">
            <wp:simplePos x="0" y="0"/>
            <wp:positionH relativeFrom="page">
              <wp:posOffset>2039111</wp:posOffset>
            </wp:positionH>
            <wp:positionV relativeFrom="paragraph">
              <wp:posOffset>117540</wp:posOffset>
            </wp:positionV>
            <wp:extent cx="3438144" cy="2630424"/>
            <wp:effectExtent l="0" t="0" r="0" b="0"/>
            <wp:wrapTopAndBottom/>
            <wp:docPr id="36" name="Image 36"/>
            <wp:cNvGraphicFramePr>
              <a:graphicFrameLocks/>
            </wp:cNvGraphicFramePr>
            <a:graphic>
              <a:graphicData uri="http://schemas.openxmlformats.org/drawingml/2006/picture">
                <pic:pic>
                  <pic:nvPicPr>
                    <pic:cNvPr id="36" name="Image 36"/>
                    <pic:cNvPicPr/>
                  </pic:nvPicPr>
                  <pic:blipFill>
                    <a:blip r:embed="rId36" cstate="print"/>
                    <a:stretch>
                      <a:fillRect/>
                    </a:stretch>
                  </pic:blipFill>
                  <pic:spPr>
                    <a:xfrm>
                      <a:off x="0" y="0"/>
                      <a:ext cx="3438144" cy="2630424"/>
                    </a:xfrm>
                    <a:prstGeom prst="rect">
                      <a:avLst/>
                    </a:prstGeom>
                  </pic:spPr>
                </pic:pic>
              </a:graphicData>
            </a:graphic>
          </wp:anchor>
        </w:drawing>
      </w:r>
    </w:p>
    <w:p>
      <w:pPr>
        <w:pStyle w:val="BodyText"/>
        <w:spacing w:line="357" w:lineRule="auto" w:before="184"/>
        <w:ind w:left="325" w:right="1372"/>
        <w:jc w:val="both"/>
      </w:pPr>
      <w:r>
        <w:rPr/>
        <w:t>Participamos un año más en la Feria de la Ciencia de la Orotava para divulgar la ciencia y fomentar las vocaciones científicas entre los más pequeños.</w:t>
      </w:r>
    </w:p>
    <w:p>
      <w:pPr>
        <w:pStyle w:val="Heading4"/>
        <w:spacing w:before="5"/>
        <w:ind w:left="266"/>
      </w:pPr>
      <w:r>
        <w:rPr/>
        <w:t>CONVENIO</w:t>
      </w:r>
      <w:r>
        <w:rPr>
          <w:spacing w:val="-8"/>
        </w:rPr>
        <w:t> </w:t>
      </w:r>
      <w:r>
        <w:rPr>
          <w:spacing w:val="-2"/>
        </w:rPr>
        <w:t>CAJASIETE</w:t>
      </w:r>
    </w:p>
    <w:p>
      <w:pPr>
        <w:pStyle w:val="BodyText"/>
        <w:spacing w:line="360" w:lineRule="auto" w:before="183"/>
        <w:ind w:left="325" w:right="1371"/>
        <w:jc w:val="both"/>
      </w:pPr>
      <w:r>
        <w:rPr/>
        <w:drawing>
          <wp:anchor distT="0" distB="0" distL="0" distR="0" allowOverlap="1" layoutInCell="1" locked="0" behindDoc="1" simplePos="0" relativeHeight="487597568">
            <wp:simplePos x="0" y="0"/>
            <wp:positionH relativeFrom="page">
              <wp:posOffset>2090927</wp:posOffset>
            </wp:positionH>
            <wp:positionV relativeFrom="paragraph">
              <wp:posOffset>980175</wp:posOffset>
            </wp:positionV>
            <wp:extent cx="3172968" cy="3172968"/>
            <wp:effectExtent l="0" t="0" r="0" b="0"/>
            <wp:wrapTopAndBottom/>
            <wp:docPr id="37" name="Image 37"/>
            <wp:cNvGraphicFramePr>
              <a:graphicFrameLocks/>
            </wp:cNvGraphicFramePr>
            <a:graphic>
              <a:graphicData uri="http://schemas.openxmlformats.org/drawingml/2006/picture">
                <pic:pic>
                  <pic:nvPicPr>
                    <pic:cNvPr id="37" name="Image 37"/>
                    <pic:cNvPicPr/>
                  </pic:nvPicPr>
                  <pic:blipFill>
                    <a:blip r:embed="rId37" cstate="print"/>
                    <a:stretch>
                      <a:fillRect/>
                    </a:stretch>
                  </pic:blipFill>
                  <pic:spPr>
                    <a:xfrm>
                      <a:off x="0" y="0"/>
                      <a:ext cx="3172968" cy="3172968"/>
                    </a:xfrm>
                    <a:prstGeom prst="rect">
                      <a:avLst/>
                    </a:prstGeom>
                  </pic:spPr>
                </pic:pic>
              </a:graphicData>
            </a:graphic>
          </wp:anchor>
        </w:drawing>
      </w:r>
      <w:r>
        <w:rPr/>
        <w:t>Acuerdo entre Cajasiete y el Colegio Oficial de Químicos de Canarias, que incluye productos y servicios en condiciones preferentes para sus colegiados, facilitando su gestión diaria y apoyando su desarrollo profesional.</w:t>
      </w:r>
    </w:p>
    <w:p>
      <w:pPr>
        <w:pStyle w:val="BodyText"/>
        <w:spacing w:after="0" w:line="360" w:lineRule="auto"/>
        <w:jc w:val="both"/>
        <w:sectPr>
          <w:pgSz w:w="11900" w:h="16840"/>
          <w:pgMar w:header="0" w:footer="516" w:top="1260" w:bottom="700" w:left="1275" w:right="283"/>
        </w:sectPr>
      </w:pPr>
    </w:p>
    <w:p>
      <w:pPr>
        <w:pStyle w:val="Heading4"/>
        <w:spacing w:before="71"/>
        <w:ind w:left="64"/>
      </w:pPr>
      <w:r>
        <w:rPr/>
        <w:t>ACTO</w:t>
      </w:r>
      <w:r>
        <w:rPr>
          <w:spacing w:val="-2"/>
        </w:rPr>
        <w:t> </w:t>
      </w:r>
      <w:r>
        <w:rPr/>
        <w:t>ISNTITUCIONAL</w:t>
      </w:r>
      <w:r>
        <w:rPr>
          <w:spacing w:val="-1"/>
        </w:rPr>
        <w:t> </w:t>
      </w:r>
      <w:r>
        <w:rPr/>
        <w:t>DE</w:t>
      </w:r>
      <w:r>
        <w:rPr>
          <w:spacing w:val="-1"/>
        </w:rPr>
        <w:t> </w:t>
      </w:r>
      <w:r>
        <w:rPr/>
        <w:t>SAN </w:t>
      </w:r>
      <w:r>
        <w:rPr>
          <w:spacing w:val="-2"/>
        </w:rPr>
        <w:t>ALBERTO</w:t>
      </w:r>
    </w:p>
    <w:p>
      <w:pPr>
        <w:pStyle w:val="BodyText"/>
        <w:spacing w:line="360" w:lineRule="auto" w:before="149"/>
        <w:ind w:left="64" w:right="1492"/>
        <w:jc w:val="both"/>
      </w:pPr>
      <w:r>
        <w:rPr/>
        <w:t>El 21 de noviembre se celebró la festividad de San Alberto Magno, acto central del calendario institucional. Durante el mismo se otorgaron el Premio de Excelencia Química Empresarial de Canarias a CIN Canarias, el Premio de Divulgación al programa “Una hora menos” de Televisión Canaria y el Premio a la Entidad Colaboradora a la Real Sociedad Española</w:t>
      </w:r>
      <w:r>
        <w:rPr>
          <w:spacing w:val="-11"/>
        </w:rPr>
        <w:t> </w:t>
      </w:r>
      <w:r>
        <w:rPr/>
        <w:t>de</w:t>
      </w:r>
      <w:r>
        <w:rPr>
          <w:spacing w:val="-11"/>
        </w:rPr>
        <w:t> </w:t>
      </w:r>
      <w:r>
        <w:rPr/>
        <w:t>Química,</w:t>
      </w:r>
      <w:r>
        <w:rPr>
          <w:spacing w:val="-11"/>
        </w:rPr>
        <w:t> </w:t>
      </w:r>
      <w:r>
        <w:rPr/>
        <w:t>reconociendo</w:t>
      </w:r>
      <w:r>
        <w:rPr>
          <w:spacing w:val="-11"/>
        </w:rPr>
        <w:t> </w:t>
      </w:r>
      <w:r>
        <w:rPr/>
        <w:t>la</w:t>
      </w:r>
      <w:r>
        <w:rPr>
          <w:spacing w:val="-11"/>
        </w:rPr>
        <w:t> </w:t>
      </w:r>
      <w:r>
        <w:rPr/>
        <w:t>excelencia,</w:t>
      </w:r>
      <w:r>
        <w:rPr>
          <w:spacing w:val="-11"/>
        </w:rPr>
        <w:t> </w:t>
      </w:r>
      <w:r>
        <w:rPr/>
        <w:t>la</w:t>
      </w:r>
      <w:r>
        <w:rPr>
          <w:spacing w:val="-11"/>
        </w:rPr>
        <w:t> </w:t>
      </w:r>
      <w:r>
        <w:rPr/>
        <w:t>divulgación</w:t>
      </w:r>
      <w:r>
        <w:rPr>
          <w:spacing w:val="-11"/>
        </w:rPr>
        <w:t> </w:t>
      </w:r>
      <w:r>
        <w:rPr/>
        <w:t>científica</w:t>
      </w:r>
      <w:r>
        <w:rPr>
          <w:spacing w:val="-11"/>
        </w:rPr>
        <w:t> </w:t>
      </w:r>
      <w:r>
        <w:rPr/>
        <w:t>y</w:t>
      </w:r>
      <w:r>
        <w:rPr>
          <w:spacing w:val="-11"/>
        </w:rPr>
        <w:t> </w:t>
      </w:r>
      <w:r>
        <w:rPr/>
        <w:t>la</w:t>
      </w:r>
      <w:r>
        <w:rPr>
          <w:spacing w:val="-11"/>
        </w:rPr>
        <w:t> </w:t>
      </w:r>
      <w:r>
        <w:rPr/>
        <w:t>colaboración </w:t>
      </w:r>
      <w:r>
        <w:rPr>
          <w:spacing w:val="-2"/>
        </w:rPr>
        <w:t>institucional.</w:t>
      </w:r>
    </w:p>
    <w:p>
      <w:pPr>
        <w:pStyle w:val="BodyText"/>
        <w:spacing w:before="9"/>
        <w:rPr>
          <w:sz w:val="19"/>
        </w:rPr>
      </w:pPr>
      <w:r>
        <w:rPr>
          <w:sz w:val="19"/>
        </w:rPr>
        <w:drawing>
          <wp:anchor distT="0" distB="0" distL="0" distR="0" allowOverlap="1" layoutInCell="1" locked="0" behindDoc="1" simplePos="0" relativeHeight="487598080">
            <wp:simplePos x="0" y="0"/>
            <wp:positionH relativeFrom="page">
              <wp:posOffset>947927</wp:posOffset>
            </wp:positionH>
            <wp:positionV relativeFrom="paragraph">
              <wp:posOffset>168600</wp:posOffset>
            </wp:positionV>
            <wp:extent cx="4998720" cy="3810000"/>
            <wp:effectExtent l="0" t="0" r="0" b="0"/>
            <wp:wrapTopAndBottom/>
            <wp:docPr id="38" name="Image 38"/>
            <wp:cNvGraphicFramePr>
              <a:graphicFrameLocks/>
            </wp:cNvGraphicFramePr>
            <a:graphic>
              <a:graphicData uri="http://schemas.openxmlformats.org/drawingml/2006/picture">
                <pic:pic>
                  <pic:nvPicPr>
                    <pic:cNvPr id="38" name="Image 38"/>
                    <pic:cNvPicPr/>
                  </pic:nvPicPr>
                  <pic:blipFill>
                    <a:blip r:embed="rId38" cstate="print"/>
                    <a:stretch>
                      <a:fillRect/>
                    </a:stretch>
                  </pic:blipFill>
                  <pic:spPr>
                    <a:xfrm>
                      <a:off x="0" y="0"/>
                      <a:ext cx="4998720" cy="3810000"/>
                    </a:xfrm>
                    <a:prstGeom prst="rect">
                      <a:avLst/>
                    </a:prstGeom>
                  </pic:spPr>
                </pic:pic>
              </a:graphicData>
            </a:graphic>
          </wp:anchor>
        </w:drawing>
      </w:r>
    </w:p>
    <w:p>
      <w:pPr>
        <w:pStyle w:val="BodyText"/>
      </w:pPr>
    </w:p>
    <w:p>
      <w:pPr>
        <w:pStyle w:val="BodyText"/>
        <w:spacing w:before="222"/>
      </w:pPr>
    </w:p>
    <w:p>
      <w:pPr>
        <w:pStyle w:val="Heading4"/>
        <w:ind w:left="64"/>
      </w:pPr>
      <w:r>
        <w:rPr/>
        <w:t>DÍA</w:t>
      </w:r>
      <w:r>
        <w:rPr>
          <w:spacing w:val="-3"/>
        </w:rPr>
        <w:t> </w:t>
      </w:r>
      <w:r>
        <w:rPr/>
        <w:t>DE LA PATRONA DE</w:t>
      </w:r>
      <w:r>
        <w:rPr>
          <w:spacing w:val="-1"/>
        </w:rPr>
        <w:t> </w:t>
      </w:r>
      <w:r>
        <w:rPr/>
        <w:t>FARMACIA DE S/C</w:t>
      </w:r>
      <w:r>
        <w:rPr>
          <w:spacing w:val="-1"/>
        </w:rPr>
        <w:t> </w:t>
      </w:r>
      <w:r>
        <w:rPr/>
        <w:t>DE </w:t>
      </w:r>
      <w:r>
        <w:rPr>
          <w:spacing w:val="-2"/>
        </w:rPr>
        <w:t>TENERIFE</w:t>
      </w:r>
    </w:p>
    <w:p>
      <w:pPr>
        <w:pStyle w:val="BodyText"/>
        <w:spacing w:line="360" w:lineRule="auto" w:before="149"/>
        <w:ind w:left="64" w:right="1373"/>
        <w:jc w:val="both"/>
      </w:pPr>
      <w:r>
        <w:rPr/>
        <w:t>La</w:t>
      </w:r>
      <w:r>
        <w:rPr>
          <w:spacing w:val="-4"/>
        </w:rPr>
        <w:t> </w:t>
      </w:r>
      <w:r>
        <w:rPr/>
        <w:t>decana</w:t>
      </w:r>
      <w:r>
        <w:rPr>
          <w:spacing w:val="-4"/>
        </w:rPr>
        <w:t> </w:t>
      </w:r>
      <w:r>
        <w:rPr/>
        <w:t>asiste</w:t>
      </w:r>
      <w:r>
        <w:rPr>
          <w:spacing w:val="-4"/>
        </w:rPr>
        <w:t> </w:t>
      </w:r>
      <w:r>
        <w:rPr/>
        <w:t>al</w:t>
      </w:r>
      <w:r>
        <w:rPr>
          <w:spacing w:val="-4"/>
        </w:rPr>
        <w:t> </w:t>
      </w:r>
      <w:r>
        <w:rPr/>
        <w:t>Acto</w:t>
      </w:r>
      <w:r>
        <w:rPr>
          <w:spacing w:val="-4"/>
        </w:rPr>
        <w:t> </w:t>
      </w:r>
      <w:r>
        <w:rPr/>
        <w:t>de</w:t>
      </w:r>
      <w:r>
        <w:rPr>
          <w:spacing w:val="-4"/>
        </w:rPr>
        <w:t> </w:t>
      </w:r>
      <w:r>
        <w:rPr/>
        <w:t>la</w:t>
      </w:r>
      <w:r>
        <w:rPr>
          <w:spacing w:val="-4"/>
        </w:rPr>
        <w:t> </w:t>
      </w:r>
      <w:r>
        <w:rPr/>
        <w:t>patrona</w:t>
      </w:r>
      <w:r>
        <w:rPr>
          <w:spacing w:val="-4"/>
        </w:rPr>
        <w:t> </w:t>
      </w:r>
      <w:r>
        <w:rPr/>
        <w:t>del</w:t>
      </w:r>
      <w:r>
        <w:rPr>
          <w:spacing w:val="-4"/>
        </w:rPr>
        <w:t> </w:t>
      </w:r>
      <w:r>
        <w:rPr/>
        <w:t>Colegio</w:t>
      </w:r>
      <w:r>
        <w:rPr>
          <w:spacing w:val="-4"/>
        </w:rPr>
        <w:t> </w:t>
      </w:r>
      <w:r>
        <w:rPr/>
        <w:t>Oficial</w:t>
      </w:r>
      <w:r>
        <w:rPr>
          <w:spacing w:val="-4"/>
        </w:rPr>
        <w:t> </w:t>
      </w:r>
      <w:r>
        <w:rPr/>
        <w:t>de</w:t>
      </w:r>
      <w:r>
        <w:rPr>
          <w:spacing w:val="-4"/>
        </w:rPr>
        <w:t> </w:t>
      </w:r>
      <w:r>
        <w:rPr/>
        <w:t>Farmacéuticos</w:t>
      </w:r>
      <w:r>
        <w:rPr>
          <w:spacing w:val="-4"/>
        </w:rPr>
        <w:t> </w:t>
      </w:r>
      <w:r>
        <w:rPr/>
        <w:t>de</w:t>
      </w:r>
      <w:r>
        <w:rPr>
          <w:spacing w:val="-4"/>
        </w:rPr>
        <w:t> </w:t>
      </w:r>
      <w:r>
        <w:rPr/>
        <w:t>Santa</w:t>
      </w:r>
      <w:r>
        <w:rPr>
          <w:spacing w:val="-4"/>
        </w:rPr>
        <w:t> </w:t>
      </w:r>
      <w:r>
        <w:rPr/>
        <w:t>Cruz</w:t>
      </w:r>
      <w:r>
        <w:rPr>
          <w:spacing w:val="-4"/>
        </w:rPr>
        <w:t> </w:t>
      </w:r>
      <w:r>
        <w:rPr/>
        <w:t>de Tenerife, donde disfrutamos de una magnífica conferencia sobre la importancia de una población verdaderamente saludable y los riesgos de la cibercondria, el sobrediagnóstico y esa obsesión creciente por medirlo absolutamente todo.</w:t>
      </w:r>
    </w:p>
    <w:p>
      <w:pPr>
        <w:pStyle w:val="BodyText"/>
        <w:spacing w:after="0" w:line="360" w:lineRule="auto"/>
        <w:jc w:val="both"/>
        <w:sectPr>
          <w:pgSz w:w="11900" w:h="16840"/>
          <w:pgMar w:header="0" w:footer="516" w:top="1740" w:bottom="700" w:left="1275" w:right="283"/>
        </w:sectPr>
      </w:pPr>
    </w:p>
    <w:p>
      <w:pPr>
        <w:pStyle w:val="BodyText"/>
        <w:rPr>
          <w:sz w:val="20"/>
        </w:rPr>
      </w:pPr>
    </w:p>
    <w:p>
      <w:pPr>
        <w:pStyle w:val="BodyText"/>
        <w:rPr>
          <w:sz w:val="20"/>
        </w:rPr>
      </w:pPr>
    </w:p>
    <w:p>
      <w:pPr>
        <w:pStyle w:val="BodyText"/>
        <w:rPr>
          <w:sz w:val="20"/>
        </w:rPr>
      </w:pPr>
    </w:p>
    <w:p>
      <w:pPr>
        <w:pStyle w:val="BodyText"/>
        <w:spacing w:before="213"/>
        <w:rPr>
          <w:sz w:val="20"/>
        </w:rPr>
      </w:pPr>
    </w:p>
    <w:p>
      <w:pPr>
        <w:spacing w:line="240" w:lineRule="auto"/>
        <w:ind w:left="664" w:right="0" w:firstLine="0"/>
        <w:rPr>
          <w:sz w:val="20"/>
        </w:rPr>
      </w:pPr>
      <w:r>
        <w:rPr>
          <w:sz w:val="20"/>
        </w:rPr>
        <w:drawing>
          <wp:inline distT="0" distB="0" distL="0" distR="0">
            <wp:extent cx="4422648" cy="3371088"/>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39" cstate="print"/>
                    <a:stretch>
                      <a:fillRect/>
                    </a:stretch>
                  </pic:blipFill>
                  <pic:spPr>
                    <a:xfrm>
                      <a:off x="0" y="0"/>
                      <a:ext cx="4422648" cy="3371088"/>
                    </a:xfrm>
                    <a:prstGeom prst="rect">
                      <a:avLst/>
                    </a:prstGeom>
                  </pic:spPr>
                </pic:pic>
              </a:graphicData>
            </a:graphic>
          </wp:inline>
        </w:drawing>
      </w:r>
      <w:r>
        <w:rPr>
          <w:sz w:val="20"/>
        </w:rPr>
      </w:r>
    </w:p>
    <w:p>
      <w:pPr>
        <w:pStyle w:val="BodyText"/>
        <w:spacing w:before="11"/>
      </w:pPr>
    </w:p>
    <w:p>
      <w:pPr>
        <w:pStyle w:val="Heading4"/>
        <w:ind w:left="64"/>
      </w:pPr>
      <w:r>
        <w:rPr/>
        <w:t>MEDALLA</w:t>
      </w:r>
      <w:r>
        <w:rPr>
          <w:spacing w:val="-1"/>
        </w:rPr>
        <w:t> </w:t>
      </w:r>
      <w:r>
        <w:rPr/>
        <w:t>DE BRONCE EN LOS PREMIOS DE TRANSPARENCIA </w:t>
      </w:r>
      <w:r>
        <w:rPr>
          <w:spacing w:val="-4"/>
        </w:rPr>
        <w:t>2025</w:t>
      </w:r>
    </w:p>
    <w:p>
      <w:pPr>
        <w:pStyle w:val="BodyText"/>
        <w:spacing w:line="360" w:lineRule="auto" w:before="144"/>
        <w:ind w:left="64" w:right="1377"/>
        <w:jc w:val="both"/>
      </w:pPr>
      <w:r>
        <w:rPr/>
        <w:t>Nuestro vocal Iñigo Jaudenes asistió al acto de entrega y recogió el galardón de manos de Noelia García, directora de Transparencia. Un reconocimiento que celebra nuestro compromiso con la claridad, la mejora continua y la rendición de cuentas.</w:t>
      </w:r>
    </w:p>
    <w:p>
      <w:pPr>
        <w:pStyle w:val="BodyText"/>
        <w:spacing w:before="150"/>
      </w:pPr>
    </w:p>
    <w:p>
      <w:pPr>
        <w:pStyle w:val="Heading4"/>
        <w:ind w:left="64"/>
      </w:pPr>
      <w:r>
        <w:rPr/>
        <w:t>JORNADA MICROCREDENCIALES </w:t>
      </w:r>
      <w:r>
        <w:rPr>
          <w:spacing w:val="-2"/>
        </w:rPr>
        <w:t>UNIVERSITARIAS</w:t>
      </w:r>
    </w:p>
    <w:p>
      <w:pPr>
        <w:pStyle w:val="BodyText"/>
        <w:spacing w:line="360" w:lineRule="auto" w:before="144"/>
        <w:ind w:left="63" w:right="1377"/>
        <w:jc w:val="both"/>
      </w:pPr>
      <w:r>
        <w:rPr/>
        <w:t>El 1 de diciembre se celebró en el Colegio Oficial de Químicos de Canarias la Jornada sobre Microcredenciales Universitarias, un encuentro promovido junto a la Universidad de La Laguna (ULL) y la Asociación de Colegios Profesionales de Canarias (ACPCanarias) para abordar el valor de estas nuevas formaciones breves y flexibles en la mejora de la empleabilidad y la cualificación profesional.</w:t>
      </w:r>
    </w:p>
    <w:p>
      <w:pPr>
        <w:pStyle w:val="BodyText"/>
        <w:spacing w:line="360" w:lineRule="auto" w:before="1"/>
        <w:ind w:left="63" w:right="1373"/>
        <w:jc w:val="both"/>
      </w:pPr>
      <w:r>
        <w:rPr/>
        <w:t>En</w:t>
      </w:r>
      <w:r>
        <w:rPr>
          <w:spacing w:val="-9"/>
        </w:rPr>
        <w:t> </w:t>
      </w:r>
      <w:r>
        <w:rPr/>
        <w:t>la</w:t>
      </w:r>
      <w:r>
        <w:rPr>
          <w:spacing w:val="-9"/>
        </w:rPr>
        <w:t> </w:t>
      </w:r>
      <w:r>
        <w:rPr/>
        <w:t>foto</w:t>
      </w:r>
      <w:r>
        <w:rPr>
          <w:spacing w:val="-9"/>
        </w:rPr>
        <w:t> </w:t>
      </w:r>
      <w:r>
        <w:rPr/>
        <w:t>de</w:t>
      </w:r>
      <w:r>
        <w:rPr>
          <w:spacing w:val="-8"/>
        </w:rPr>
        <w:t> </w:t>
      </w:r>
      <w:r>
        <w:rPr/>
        <w:t>familia,</w:t>
      </w:r>
      <w:r>
        <w:rPr>
          <w:spacing w:val="-9"/>
        </w:rPr>
        <w:t> </w:t>
      </w:r>
      <w:r>
        <w:rPr/>
        <w:t>junto</w:t>
      </w:r>
      <w:r>
        <w:rPr>
          <w:spacing w:val="-9"/>
        </w:rPr>
        <w:t> </w:t>
      </w:r>
      <w:r>
        <w:rPr/>
        <w:t>al</w:t>
      </w:r>
      <w:r>
        <w:rPr>
          <w:spacing w:val="-9"/>
        </w:rPr>
        <w:t> </w:t>
      </w:r>
      <w:r>
        <w:rPr/>
        <w:t>vicerrector</w:t>
      </w:r>
      <w:r>
        <w:rPr>
          <w:spacing w:val="-8"/>
        </w:rPr>
        <w:t> </w:t>
      </w:r>
      <w:r>
        <w:rPr/>
        <w:t>de</w:t>
      </w:r>
      <w:r>
        <w:rPr>
          <w:spacing w:val="-8"/>
        </w:rPr>
        <w:t> </w:t>
      </w:r>
      <w:r>
        <w:rPr/>
        <w:t>Docencia,</w:t>
      </w:r>
      <w:r>
        <w:rPr>
          <w:spacing w:val="-9"/>
        </w:rPr>
        <w:t> </w:t>
      </w:r>
      <w:r>
        <w:rPr/>
        <w:t>José</w:t>
      </w:r>
      <w:r>
        <w:rPr>
          <w:spacing w:val="-8"/>
        </w:rPr>
        <w:t> </w:t>
      </w:r>
      <w:r>
        <w:rPr/>
        <w:t>Manuel</w:t>
      </w:r>
      <w:r>
        <w:rPr>
          <w:spacing w:val="-9"/>
        </w:rPr>
        <w:t> </w:t>
      </w:r>
      <w:r>
        <w:rPr/>
        <w:t>García</w:t>
      </w:r>
      <w:r>
        <w:rPr>
          <w:spacing w:val="-9"/>
        </w:rPr>
        <w:t> </w:t>
      </w:r>
      <w:r>
        <w:rPr/>
        <w:t>Fraga,</w:t>
      </w:r>
      <w:r>
        <w:rPr>
          <w:spacing w:val="-9"/>
        </w:rPr>
        <w:t> </w:t>
      </w:r>
      <w:r>
        <w:rPr/>
        <w:t>la</w:t>
      </w:r>
      <w:r>
        <w:rPr>
          <w:spacing w:val="-9"/>
        </w:rPr>
        <w:t> </w:t>
      </w:r>
      <w:r>
        <w:rPr/>
        <w:t>directora del Centro de Formación Permanente de la ULL, Isabel González Díaz, y el presidente de ACPCanarias, Francisco Javier Sánchez Eizaguirre, compartimos un espacio de diálogo y colaboración institucional que refuerza nuestro compromiso con la capacitación continua de las profesiones colegiadas.</w:t>
      </w:r>
    </w:p>
    <w:p>
      <w:pPr>
        <w:pStyle w:val="BodyText"/>
        <w:spacing w:after="0" w:line="360" w:lineRule="auto"/>
        <w:jc w:val="both"/>
        <w:sectPr>
          <w:pgSz w:w="11900" w:h="16840"/>
          <w:pgMar w:header="0" w:footer="516" w:top="1940" w:bottom="700" w:left="1275" w:right="283"/>
        </w:sectPr>
      </w:pPr>
    </w:p>
    <w:p>
      <w:pPr>
        <w:spacing w:line="240" w:lineRule="auto"/>
        <w:ind w:left="1288" w:right="0" w:firstLine="0"/>
        <w:rPr>
          <w:sz w:val="20"/>
        </w:rPr>
      </w:pPr>
      <w:r>
        <w:rPr>
          <w:sz w:val="20"/>
        </w:rPr>
        <w:drawing>
          <wp:inline distT="0" distB="0" distL="0" distR="0">
            <wp:extent cx="4100991" cy="4364736"/>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40" cstate="print"/>
                    <a:stretch>
                      <a:fillRect/>
                    </a:stretch>
                  </pic:blipFill>
                  <pic:spPr>
                    <a:xfrm>
                      <a:off x="0" y="0"/>
                      <a:ext cx="4100991" cy="4364736"/>
                    </a:xfrm>
                    <a:prstGeom prst="rect">
                      <a:avLst/>
                    </a:prstGeom>
                  </pic:spPr>
                </pic:pic>
              </a:graphicData>
            </a:graphic>
          </wp:inline>
        </w:drawing>
      </w:r>
      <w:r>
        <w:rPr>
          <w:sz w:val="20"/>
        </w:rPr>
      </w:r>
    </w:p>
    <w:p>
      <w:pPr>
        <w:pStyle w:val="Heading4"/>
        <w:spacing w:before="176"/>
        <w:ind w:left="64"/>
        <w:jc w:val="left"/>
      </w:pPr>
      <w:r>
        <w:rPr/>
        <w:t>DÍA DEL </w:t>
      </w:r>
      <w:r>
        <w:rPr>
          <w:spacing w:val="-2"/>
        </w:rPr>
        <w:t>ECONOMISTA</w:t>
      </w:r>
    </w:p>
    <w:p>
      <w:pPr>
        <w:pStyle w:val="BodyText"/>
        <w:spacing w:line="362" w:lineRule="auto" w:before="144"/>
        <w:ind w:left="64" w:right="1186"/>
      </w:pPr>
      <w:r>
        <w:rPr/>
        <w:t>Nuestra decana, María Candelaria Sánchez Galán, acompañó al Colegio de Economistas de Las Palmas en la celebración del Día del Economista en Gran Canaria.</w:t>
      </w:r>
    </w:p>
    <w:p>
      <w:pPr>
        <w:pStyle w:val="BodyText"/>
        <w:spacing w:before="184"/>
        <w:rPr>
          <w:sz w:val="20"/>
        </w:rPr>
      </w:pPr>
      <w:r>
        <w:rPr>
          <w:sz w:val="20"/>
        </w:rPr>
        <w:drawing>
          <wp:anchor distT="0" distB="0" distL="0" distR="0" allowOverlap="1" layoutInCell="1" locked="0" behindDoc="1" simplePos="0" relativeHeight="487598592">
            <wp:simplePos x="0" y="0"/>
            <wp:positionH relativeFrom="page">
              <wp:posOffset>1517903</wp:posOffset>
            </wp:positionH>
            <wp:positionV relativeFrom="paragraph">
              <wp:posOffset>287696</wp:posOffset>
            </wp:positionV>
            <wp:extent cx="4181093" cy="2855309"/>
            <wp:effectExtent l="0" t="0" r="0" b="0"/>
            <wp:wrapTopAndBottom/>
            <wp:docPr id="41" name="Image 41"/>
            <wp:cNvGraphicFramePr>
              <a:graphicFrameLocks/>
            </wp:cNvGraphicFramePr>
            <a:graphic>
              <a:graphicData uri="http://schemas.openxmlformats.org/drawingml/2006/picture">
                <pic:pic>
                  <pic:nvPicPr>
                    <pic:cNvPr id="41" name="Image 41"/>
                    <pic:cNvPicPr/>
                  </pic:nvPicPr>
                  <pic:blipFill>
                    <a:blip r:embed="rId41" cstate="print"/>
                    <a:stretch>
                      <a:fillRect/>
                    </a:stretch>
                  </pic:blipFill>
                  <pic:spPr>
                    <a:xfrm>
                      <a:off x="0" y="0"/>
                      <a:ext cx="4181093" cy="2855309"/>
                    </a:xfrm>
                    <a:prstGeom prst="rect">
                      <a:avLst/>
                    </a:prstGeom>
                  </pic:spPr>
                </pic:pic>
              </a:graphicData>
            </a:graphic>
          </wp:anchor>
        </w:drawing>
      </w:r>
    </w:p>
    <w:p>
      <w:pPr>
        <w:pStyle w:val="BodyText"/>
        <w:spacing w:after="0"/>
        <w:rPr>
          <w:sz w:val="20"/>
        </w:rPr>
        <w:sectPr>
          <w:pgSz w:w="11900" w:h="16840"/>
          <w:pgMar w:header="0" w:footer="516" w:top="1500" w:bottom="700" w:left="1275" w:right="283"/>
        </w:sectPr>
      </w:pPr>
    </w:p>
    <w:p>
      <w:pPr>
        <w:pStyle w:val="Heading1"/>
        <w:spacing w:line="496" w:lineRule="exact" w:before="318"/>
        <w:ind w:left="61"/>
        <w:rPr>
          <w:b w:val="0"/>
        </w:rPr>
      </w:pPr>
      <w:bookmarkStart w:name="_TOC_250006" w:id="13"/>
      <w:r>
        <w:rPr>
          <w:b w:val="0"/>
        </w:rPr>
        <w:t>INFORMES</w:t>
      </w:r>
      <w:r>
        <w:rPr>
          <w:b w:val="0"/>
          <w:spacing w:val="-4"/>
        </w:rPr>
        <w:t> </w:t>
      </w:r>
      <w:r>
        <w:rPr>
          <w:b w:val="0"/>
        </w:rPr>
        <w:t>DE</w:t>
      </w:r>
      <w:r>
        <w:rPr>
          <w:b w:val="0"/>
          <w:spacing w:val="-4"/>
        </w:rPr>
        <w:t> </w:t>
      </w:r>
      <w:r>
        <w:rPr>
          <w:b w:val="0"/>
        </w:rPr>
        <w:t>TESORERÍA</w:t>
      </w:r>
      <w:r>
        <w:rPr>
          <w:b w:val="0"/>
          <w:spacing w:val="-16"/>
        </w:rPr>
        <w:t> </w:t>
      </w:r>
      <w:bookmarkEnd w:id="13"/>
      <w:r>
        <w:rPr>
          <w:b w:val="0"/>
          <w:spacing w:val="-4"/>
        </w:rPr>
        <w:t>2025</w:t>
      </w:r>
    </w:p>
    <w:p>
      <w:pPr>
        <w:pStyle w:val="Heading2"/>
        <w:spacing w:line="379" w:lineRule="exact"/>
        <w:ind w:left="263"/>
      </w:pPr>
      <w:bookmarkStart w:name="_TOC_250005" w:id="14"/>
      <w:r>
        <w:rPr/>
        <w:t>RESUMEN</w:t>
      </w:r>
      <w:r>
        <w:rPr>
          <w:spacing w:val="-7"/>
        </w:rPr>
        <w:t> </w:t>
      </w:r>
      <w:r>
        <w:rPr/>
        <w:t>DE</w:t>
      </w:r>
      <w:r>
        <w:rPr>
          <w:spacing w:val="-6"/>
        </w:rPr>
        <w:t> </w:t>
      </w:r>
      <w:r>
        <w:rPr/>
        <w:t>GASTOS</w:t>
      </w:r>
      <w:r>
        <w:rPr>
          <w:spacing w:val="-5"/>
        </w:rPr>
        <w:t> </w:t>
      </w:r>
      <w:bookmarkEnd w:id="14"/>
      <w:r>
        <w:rPr>
          <w:spacing w:val="-4"/>
        </w:rPr>
        <w:t>2025</w:t>
      </w:r>
    </w:p>
    <w:p>
      <w:pPr>
        <w:pStyle w:val="BodyText"/>
        <w:spacing w:before="153"/>
        <w:rPr>
          <w:b/>
          <w:sz w:val="20"/>
        </w:rPr>
      </w:pPr>
      <w:r>
        <w:rPr>
          <w:b/>
          <w:sz w:val="20"/>
        </w:rPr>
        <w:drawing>
          <wp:anchor distT="0" distB="0" distL="0" distR="0" allowOverlap="1" layoutInCell="1" locked="0" behindDoc="1" simplePos="0" relativeHeight="487599104">
            <wp:simplePos x="0" y="0"/>
            <wp:positionH relativeFrom="page">
              <wp:posOffset>1050925</wp:posOffset>
            </wp:positionH>
            <wp:positionV relativeFrom="paragraph">
              <wp:posOffset>267652</wp:posOffset>
            </wp:positionV>
            <wp:extent cx="8510025" cy="4437888"/>
            <wp:effectExtent l="0" t="0" r="0" b="0"/>
            <wp:wrapTopAndBottom/>
            <wp:docPr id="42" name="Image 42"/>
            <wp:cNvGraphicFramePr>
              <a:graphicFrameLocks/>
            </wp:cNvGraphicFramePr>
            <a:graphic>
              <a:graphicData uri="http://schemas.openxmlformats.org/drawingml/2006/picture">
                <pic:pic>
                  <pic:nvPicPr>
                    <pic:cNvPr id="42" name="Image 42"/>
                    <pic:cNvPicPr/>
                  </pic:nvPicPr>
                  <pic:blipFill>
                    <a:blip r:embed="rId43" cstate="print"/>
                    <a:stretch>
                      <a:fillRect/>
                    </a:stretch>
                  </pic:blipFill>
                  <pic:spPr>
                    <a:xfrm>
                      <a:off x="0" y="0"/>
                      <a:ext cx="8510025" cy="4437888"/>
                    </a:xfrm>
                    <a:prstGeom prst="rect">
                      <a:avLst/>
                    </a:prstGeom>
                  </pic:spPr>
                </pic:pic>
              </a:graphicData>
            </a:graphic>
          </wp:anchor>
        </w:drawing>
      </w:r>
    </w:p>
    <w:p>
      <w:pPr>
        <w:pStyle w:val="BodyText"/>
        <w:spacing w:after="0"/>
        <w:rPr>
          <w:b/>
          <w:sz w:val="20"/>
        </w:rPr>
        <w:sectPr>
          <w:footerReference w:type="default" r:id="rId42"/>
          <w:pgSz w:w="16840" w:h="11900" w:orient="landscape"/>
          <w:pgMar w:header="0" w:footer="0" w:top="1340" w:bottom="280" w:left="1417" w:right="708"/>
        </w:sectPr>
      </w:pPr>
    </w:p>
    <w:p>
      <w:pPr>
        <w:pStyle w:val="Heading2"/>
        <w:spacing w:before="337"/>
      </w:pPr>
      <w:bookmarkStart w:name="_TOC_250004" w:id="15"/>
      <w:r>
        <w:rPr/>
        <w:t>RESUMEN</w:t>
      </w:r>
      <w:r>
        <w:rPr>
          <w:spacing w:val="-10"/>
        </w:rPr>
        <w:t> </w:t>
      </w:r>
      <w:r>
        <w:rPr/>
        <w:t>INGRESOS</w:t>
      </w:r>
      <w:r>
        <w:rPr>
          <w:spacing w:val="-9"/>
        </w:rPr>
        <w:t> </w:t>
      </w:r>
      <w:bookmarkEnd w:id="15"/>
      <w:r>
        <w:rPr>
          <w:spacing w:val="-4"/>
        </w:rPr>
        <w:t>2025</w:t>
      </w:r>
    </w:p>
    <w:p>
      <w:pPr>
        <w:pStyle w:val="BodyText"/>
        <w:rPr>
          <w:b/>
          <w:sz w:val="20"/>
        </w:rPr>
      </w:pPr>
    </w:p>
    <w:p>
      <w:pPr>
        <w:pStyle w:val="BodyText"/>
        <w:rPr>
          <w:b/>
          <w:sz w:val="20"/>
        </w:rPr>
      </w:pPr>
    </w:p>
    <w:p>
      <w:pPr>
        <w:pStyle w:val="BodyText"/>
        <w:spacing w:before="146"/>
        <w:rPr>
          <w:b/>
          <w:sz w:val="20"/>
        </w:rPr>
      </w:pPr>
      <w:r>
        <w:rPr>
          <w:b/>
          <w:sz w:val="20"/>
        </w:rPr>
        <w:drawing>
          <wp:anchor distT="0" distB="0" distL="0" distR="0" allowOverlap="1" layoutInCell="1" locked="0" behindDoc="1" simplePos="0" relativeHeight="487599616">
            <wp:simplePos x="0" y="0"/>
            <wp:positionH relativeFrom="page">
              <wp:posOffset>939800</wp:posOffset>
            </wp:positionH>
            <wp:positionV relativeFrom="paragraph">
              <wp:posOffset>263457</wp:posOffset>
            </wp:positionV>
            <wp:extent cx="8957527" cy="1030509"/>
            <wp:effectExtent l="0" t="0" r="0" b="0"/>
            <wp:wrapTopAndBottom/>
            <wp:docPr id="43" name="Image 43"/>
            <wp:cNvGraphicFramePr>
              <a:graphicFrameLocks/>
            </wp:cNvGraphicFramePr>
            <a:graphic>
              <a:graphicData uri="http://schemas.openxmlformats.org/drawingml/2006/picture">
                <pic:pic>
                  <pic:nvPicPr>
                    <pic:cNvPr id="43" name="Image 43"/>
                    <pic:cNvPicPr/>
                  </pic:nvPicPr>
                  <pic:blipFill>
                    <a:blip r:embed="rId45" cstate="print"/>
                    <a:stretch>
                      <a:fillRect/>
                    </a:stretch>
                  </pic:blipFill>
                  <pic:spPr>
                    <a:xfrm>
                      <a:off x="0" y="0"/>
                      <a:ext cx="8957527" cy="1030509"/>
                    </a:xfrm>
                    <a:prstGeom prst="rect">
                      <a:avLst/>
                    </a:prstGeom>
                  </pic:spPr>
                </pic:pic>
              </a:graphicData>
            </a:graphic>
          </wp:anchor>
        </w:drawing>
      </w:r>
    </w:p>
    <w:p>
      <w:pPr>
        <w:pStyle w:val="BodyText"/>
        <w:spacing w:after="0"/>
        <w:rPr>
          <w:b/>
          <w:sz w:val="20"/>
        </w:rPr>
        <w:sectPr>
          <w:footerReference w:type="default" r:id="rId44"/>
          <w:pgSz w:w="16840" w:h="11900" w:orient="landscape"/>
          <w:pgMar w:header="0" w:footer="0" w:top="1340" w:bottom="280" w:left="1417" w:right="708"/>
        </w:sectPr>
      </w:pPr>
    </w:p>
    <w:p>
      <w:pPr>
        <w:pStyle w:val="Heading2"/>
        <w:spacing w:before="73"/>
        <w:ind w:left="120"/>
      </w:pPr>
      <w:bookmarkStart w:name="_TOC_250003" w:id="16"/>
      <w:r>
        <w:rPr/>
        <w:t>RESULTADOS</w:t>
      </w:r>
      <w:r>
        <w:rPr>
          <w:spacing w:val="-12"/>
        </w:rPr>
        <w:t> </w:t>
      </w:r>
      <w:r>
        <w:rPr/>
        <w:t>BALANCE</w:t>
      </w:r>
      <w:r>
        <w:rPr>
          <w:spacing w:val="-9"/>
        </w:rPr>
        <w:t> </w:t>
      </w:r>
      <w:r>
        <w:rPr/>
        <w:t>INGRESOS-</w:t>
      </w:r>
      <w:r>
        <w:rPr>
          <w:spacing w:val="-9"/>
        </w:rPr>
        <w:t> </w:t>
      </w:r>
      <w:r>
        <w:rPr/>
        <w:t>GASTOS</w:t>
      </w:r>
      <w:r>
        <w:rPr>
          <w:spacing w:val="-9"/>
        </w:rPr>
        <w:t> </w:t>
      </w:r>
      <w:bookmarkEnd w:id="16"/>
      <w:r>
        <w:rPr>
          <w:spacing w:val="-4"/>
        </w:rPr>
        <w:t>2025</w:t>
      </w:r>
    </w:p>
    <w:p>
      <w:pPr>
        <w:pStyle w:val="BodyText"/>
        <w:spacing w:before="150"/>
        <w:rPr>
          <w:b/>
          <w:sz w:val="20"/>
        </w:rPr>
      </w:pPr>
    </w:p>
    <w:tbl>
      <w:tblPr>
        <w:tblW w:w="0" w:type="auto"/>
        <w:jc w:val="left"/>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30"/>
        <w:gridCol w:w="1824"/>
      </w:tblGrid>
      <w:tr>
        <w:trPr>
          <w:trHeight w:val="537" w:hRule="atLeast"/>
        </w:trPr>
        <w:tc>
          <w:tcPr>
            <w:tcW w:w="3230" w:type="dxa"/>
          </w:tcPr>
          <w:p>
            <w:pPr>
              <w:pStyle w:val="TableParagraph"/>
              <w:spacing w:before="1"/>
              <w:rPr>
                <w:b/>
                <w:sz w:val="22"/>
              </w:rPr>
            </w:pPr>
          </w:p>
          <w:p>
            <w:pPr>
              <w:pStyle w:val="TableParagraph"/>
              <w:spacing w:line="247" w:lineRule="exact"/>
              <w:ind w:left="67"/>
              <w:rPr>
                <w:b/>
                <w:sz w:val="22"/>
              </w:rPr>
            </w:pPr>
            <w:r>
              <w:rPr>
                <w:b/>
                <w:spacing w:val="-2"/>
                <w:sz w:val="22"/>
              </w:rPr>
              <w:t>Gastos</w:t>
            </w:r>
          </w:p>
        </w:tc>
        <w:tc>
          <w:tcPr>
            <w:tcW w:w="1824" w:type="dxa"/>
          </w:tcPr>
          <w:p>
            <w:pPr>
              <w:pStyle w:val="TableParagraph"/>
              <w:spacing w:before="136"/>
              <w:ind w:left="9" w:right="3"/>
              <w:jc w:val="center"/>
              <w:rPr>
                <w:b/>
                <w:sz w:val="22"/>
              </w:rPr>
            </w:pPr>
            <w:r>
              <w:rPr>
                <w:b/>
                <w:sz w:val="22"/>
              </w:rPr>
              <w:t>22.994,78</w:t>
            </w:r>
            <w:r>
              <w:rPr>
                <w:b/>
                <w:spacing w:val="-9"/>
                <w:sz w:val="22"/>
              </w:rPr>
              <w:t> </w:t>
            </w:r>
            <w:r>
              <w:rPr>
                <w:b/>
                <w:spacing w:val="-10"/>
                <w:sz w:val="22"/>
              </w:rPr>
              <w:t>€</w:t>
            </w:r>
          </w:p>
        </w:tc>
      </w:tr>
      <w:tr>
        <w:trPr>
          <w:trHeight w:val="345" w:hRule="atLeast"/>
        </w:trPr>
        <w:tc>
          <w:tcPr>
            <w:tcW w:w="3230" w:type="dxa"/>
            <w:shd w:val="clear" w:color="auto" w:fill="DBE4F0"/>
          </w:tcPr>
          <w:p>
            <w:pPr>
              <w:pStyle w:val="TableParagraph"/>
              <w:spacing w:before="40"/>
              <w:ind w:left="67"/>
              <w:rPr>
                <w:b/>
                <w:sz w:val="22"/>
              </w:rPr>
            </w:pPr>
            <w:r>
              <w:rPr>
                <w:b/>
                <w:spacing w:val="-2"/>
                <w:sz w:val="22"/>
              </w:rPr>
              <w:t>Ingresos</w:t>
            </w:r>
          </w:p>
        </w:tc>
        <w:tc>
          <w:tcPr>
            <w:tcW w:w="1824" w:type="dxa"/>
            <w:shd w:val="clear" w:color="auto" w:fill="DBE4F0"/>
          </w:tcPr>
          <w:p>
            <w:pPr>
              <w:pStyle w:val="TableParagraph"/>
              <w:spacing w:before="40"/>
              <w:ind w:left="9" w:right="3"/>
              <w:jc w:val="center"/>
              <w:rPr>
                <w:b/>
                <w:sz w:val="22"/>
              </w:rPr>
            </w:pPr>
            <w:r>
              <w:rPr>
                <w:b/>
                <w:sz w:val="22"/>
              </w:rPr>
              <w:t>20.545,03</w:t>
            </w:r>
            <w:r>
              <w:rPr>
                <w:b/>
                <w:spacing w:val="-9"/>
                <w:sz w:val="22"/>
              </w:rPr>
              <w:t> </w:t>
            </w:r>
            <w:r>
              <w:rPr>
                <w:b/>
                <w:spacing w:val="-10"/>
                <w:sz w:val="22"/>
              </w:rPr>
              <w:t>€</w:t>
            </w:r>
          </w:p>
        </w:tc>
      </w:tr>
      <w:tr>
        <w:trPr>
          <w:trHeight w:val="321" w:hRule="atLeast"/>
        </w:trPr>
        <w:tc>
          <w:tcPr>
            <w:tcW w:w="3230" w:type="dxa"/>
          </w:tcPr>
          <w:p>
            <w:pPr>
              <w:pStyle w:val="TableParagraph"/>
              <w:spacing w:before="25"/>
              <w:ind w:left="67"/>
              <w:rPr>
                <w:b/>
                <w:sz w:val="22"/>
              </w:rPr>
            </w:pPr>
            <w:r>
              <w:rPr>
                <w:b/>
                <w:spacing w:val="-2"/>
                <w:sz w:val="22"/>
              </w:rPr>
              <w:t>Resultado:</w:t>
            </w:r>
          </w:p>
        </w:tc>
        <w:tc>
          <w:tcPr>
            <w:tcW w:w="1824" w:type="dxa"/>
          </w:tcPr>
          <w:p>
            <w:pPr>
              <w:pStyle w:val="TableParagraph"/>
              <w:spacing w:before="25"/>
              <w:ind w:left="6" w:right="9"/>
              <w:jc w:val="center"/>
              <w:rPr>
                <w:b/>
                <w:sz w:val="22"/>
              </w:rPr>
            </w:pPr>
            <w:r>
              <w:rPr>
                <w:b/>
                <w:color w:val="FF0000"/>
                <w:spacing w:val="-2"/>
                <w:sz w:val="22"/>
              </w:rPr>
              <w:t>-2.449,75 </w:t>
            </w:r>
            <w:r>
              <w:rPr>
                <w:b/>
                <w:color w:val="FF0000"/>
                <w:spacing w:val="-10"/>
                <w:sz w:val="22"/>
              </w:rPr>
              <w:t>€</w:t>
            </w:r>
          </w:p>
        </w:tc>
      </w:tr>
    </w:tbl>
    <w:p>
      <w:pPr>
        <w:pStyle w:val="BodyText"/>
        <w:rPr>
          <w:b/>
          <w:sz w:val="32"/>
        </w:rPr>
      </w:pPr>
    </w:p>
    <w:p>
      <w:pPr>
        <w:pStyle w:val="BodyText"/>
        <w:spacing w:before="161"/>
        <w:rPr>
          <w:b/>
          <w:sz w:val="32"/>
        </w:rPr>
      </w:pPr>
    </w:p>
    <w:p>
      <w:pPr>
        <w:spacing w:before="0"/>
        <w:ind w:left="188" w:right="0" w:firstLine="0"/>
        <w:jc w:val="left"/>
        <w:rPr>
          <w:b/>
          <w:sz w:val="22"/>
        </w:rPr>
      </w:pPr>
      <w:r>
        <w:rPr>
          <w:b/>
          <w:sz w:val="22"/>
          <w:u w:val="single"/>
        </w:rPr>
        <w:t>SALDO</w:t>
      </w:r>
      <w:r>
        <w:rPr>
          <w:b/>
          <w:spacing w:val="-5"/>
          <w:sz w:val="22"/>
          <w:u w:val="single"/>
        </w:rPr>
        <w:t> </w:t>
      </w:r>
      <w:r>
        <w:rPr>
          <w:b/>
          <w:sz w:val="22"/>
          <w:u w:val="single"/>
        </w:rPr>
        <w:t>EN</w:t>
      </w:r>
      <w:r>
        <w:rPr>
          <w:b/>
          <w:spacing w:val="-4"/>
          <w:sz w:val="22"/>
          <w:u w:val="single"/>
        </w:rPr>
        <w:t> </w:t>
      </w:r>
      <w:r>
        <w:rPr>
          <w:b/>
          <w:sz w:val="22"/>
          <w:u w:val="single"/>
        </w:rPr>
        <w:t>CUENTAS</w:t>
      </w:r>
      <w:r>
        <w:rPr>
          <w:b/>
          <w:spacing w:val="-4"/>
          <w:sz w:val="22"/>
          <w:u w:val="single"/>
        </w:rPr>
        <w:t> </w:t>
      </w:r>
      <w:r>
        <w:rPr>
          <w:b/>
          <w:sz w:val="22"/>
          <w:u w:val="single"/>
        </w:rPr>
        <w:t>A</w:t>
      </w:r>
      <w:r>
        <w:rPr>
          <w:b/>
          <w:spacing w:val="-5"/>
          <w:sz w:val="22"/>
          <w:u w:val="single"/>
        </w:rPr>
        <w:t> </w:t>
      </w:r>
      <w:r>
        <w:rPr>
          <w:b/>
          <w:sz w:val="22"/>
          <w:u w:val="single"/>
        </w:rPr>
        <w:t>31</w:t>
      </w:r>
      <w:r>
        <w:rPr>
          <w:b/>
          <w:spacing w:val="-4"/>
          <w:sz w:val="22"/>
          <w:u w:val="single"/>
        </w:rPr>
        <w:t> </w:t>
      </w:r>
      <w:r>
        <w:rPr>
          <w:b/>
          <w:sz w:val="22"/>
          <w:u w:val="single"/>
        </w:rPr>
        <w:t>DICIEMBRE</w:t>
      </w:r>
      <w:r>
        <w:rPr>
          <w:b/>
          <w:spacing w:val="-4"/>
          <w:sz w:val="22"/>
          <w:u w:val="single"/>
        </w:rPr>
        <w:t> </w:t>
      </w:r>
      <w:r>
        <w:rPr>
          <w:b/>
          <w:spacing w:val="-2"/>
          <w:sz w:val="22"/>
          <w:u w:val="single"/>
        </w:rPr>
        <w:t>2025:</w:t>
      </w:r>
    </w:p>
    <w:tbl>
      <w:tblPr>
        <w:tblW w:w="0" w:type="auto"/>
        <w:jc w:val="left"/>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98"/>
        <w:gridCol w:w="2208"/>
      </w:tblGrid>
      <w:tr>
        <w:trPr>
          <w:trHeight w:val="302" w:hRule="atLeast"/>
        </w:trPr>
        <w:tc>
          <w:tcPr>
            <w:tcW w:w="2098" w:type="dxa"/>
            <w:shd w:val="clear" w:color="auto" w:fill="00B050"/>
          </w:tcPr>
          <w:p>
            <w:pPr>
              <w:pStyle w:val="TableParagraph"/>
              <w:spacing w:line="247" w:lineRule="exact" w:before="35"/>
              <w:ind w:right="61"/>
              <w:jc w:val="right"/>
              <w:rPr>
                <w:b/>
                <w:sz w:val="22"/>
              </w:rPr>
            </w:pPr>
            <w:r>
              <w:rPr>
                <w:b/>
                <w:spacing w:val="-2"/>
                <w:sz w:val="22"/>
              </w:rPr>
              <w:t>CAJASIETE:</w:t>
            </w:r>
          </w:p>
        </w:tc>
        <w:tc>
          <w:tcPr>
            <w:tcW w:w="2208" w:type="dxa"/>
            <w:shd w:val="clear" w:color="auto" w:fill="00B050"/>
          </w:tcPr>
          <w:p>
            <w:pPr>
              <w:pStyle w:val="TableParagraph"/>
              <w:spacing w:line="247" w:lineRule="exact" w:before="35"/>
              <w:ind w:right="60"/>
              <w:jc w:val="right"/>
              <w:rPr>
                <w:b/>
                <w:sz w:val="22"/>
              </w:rPr>
            </w:pPr>
            <w:r>
              <w:rPr>
                <w:b/>
                <w:sz w:val="22"/>
              </w:rPr>
              <w:t>1.801,70</w:t>
            </w:r>
            <w:r>
              <w:rPr>
                <w:b/>
                <w:spacing w:val="-8"/>
                <w:sz w:val="22"/>
              </w:rPr>
              <w:t> </w:t>
            </w:r>
            <w:r>
              <w:rPr>
                <w:b/>
                <w:spacing w:val="-10"/>
                <w:sz w:val="22"/>
              </w:rPr>
              <w:t>€</w:t>
            </w:r>
          </w:p>
        </w:tc>
      </w:tr>
      <w:tr>
        <w:trPr>
          <w:trHeight w:val="302" w:hRule="atLeast"/>
        </w:trPr>
        <w:tc>
          <w:tcPr>
            <w:tcW w:w="2098" w:type="dxa"/>
            <w:shd w:val="clear" w:color="auto" w:fill="00B0F0"/>
          </w:tcPr>
          <w:p>
            <w:pPr>
              <w:pStyle w:val="TableParagraph"/>
              <w:spacing w:line="252" w:lineRule="exact" w:before="30"/>
              <w:ind w:right="61"/>
              <w:jc w:val="right"/>
              <w:rPr>
                <w:b/>
                <w:sz w:val="22"/>
              </w:rPr>
            </w:pPr>
            <w:r>
              <w:rPr>
                <w:b/>
                <w:sz w:val="22"/>
              </w:rPr>
              <w:t>LA</w:t>
            </w:r>
            <w:r>
              <w:rPr>
                <w:b/>
                <w:spacing w:val="-2"/>
                <w:sz w:val="22"/>
              </w:rPr>
              <w:t> CAIXA:</w:t>
            </w:r>
          </w:p>
        </w:tc>
        <w:tc>
          <w:tcPr>
            <w:tcW w:w="2208" w:type="dxa"/>
            <w:shd w:val="clear" w:color="auto" w:fill="00B0F0"/>
          </w:tcPr>
          <w:p>
            <w:pPr>
              <w:pStyle w:val="TableParagraph"/>
              <w:spacing w:line="252" w:lineRule="exact" w:before="30"/>
              <w:ind w:right="60"/>
              <w:jc w:val="right"/>
              <w:rPr>
                <w:b/>
                <w:sz w:val="22"/>
              </w:rPr>
            </w:pPr>
            <w:r>
              <w:rPr>
                <w:b/>
                <w:sz w:val="22"/>
              </w:rPr>
              <w:t>44.489,94</w:t>
            </w:r>
            <w:r>
              <w:rPr>
                <w:b/>
                <w:spacing w:val="-9"/>
                <w:sz w:val="22"/>
              </w:rPr>
              <w:t> </w:t>
            </w:r>
            <w:r>
              <w:rPr>
                <w:b/>
                <w:spacing w:val="-10"/>
                <w:sz w:val="22"/>
              </w:rPr>
              <w:t>€</w:t>
            </w:r>
          </w:p>
        </w:tc>
      </w:tr>
    </w:tbl>
    <w:p>
      <w:pPr>
        <w:pStyle w:val="TableParagraph"/>
        <w:spacing w:after="0" w:line="252" w:lineRule="exact"/>
        <w:jc w:val="right"/>
        <w:rPr>
          <w:b/>
          <w:sz w:val="22"/>
        </w:rPr>
        <w:sectPr>
          <w:footerReference w:type="default" r:id="rId46"/>
          <w:pgSz w:w="11900" w:h="16840"/>
          <w:pgMar w:header="0" w:footer="516" w:top="740" w:bottom="700" w:left="1559" w:right="1133"/>
          <w:pgNumType w:start="32"/>
        </w:sectPr>
      </w:pPr>
    </w:p>
    <w:p>
      <w:pPr>
        <w:pStyle w:val="Heading1"/>
        <w:spacing w:line="506" w:lineRule="exact" w:before="78"/>
        <w:ind w:left="381"/>
        <w:rPr>
          <w:b w:val="0"/>
        </w:rPr>
      </w:pPr>
      <w:bookmarkStart w:name="_TOC_250002" w:id="17"/>
      <w:r>
        <w:rPr>
          <w:b w:val="0"/>
        </w:rPr>
        <w:t>PRESUPUESTO</w:t>
      </w:r>
      <w:r>
        <w:rPr>
          <w:b w:val="0"/>
          <w:spacing w:val="-25"/>
        </w:rPr>
        <w:t> </w:t>
      </w:r>
      <w:bookmarkEnd w:id="17"/>
      <w:r>
        <w:rPr>
          <w:b w:val="0"/>
          <w:spacing w:val="-4"/>
        </w:rPr>
        <w:t>2026</w:t>
      </w:r>
    </w:p>
    <w:p>
      <w:pPr>
        <w:pStyle w:val="Heading2"/>
        <w:spacing w:line="389" w:lineRule="exact"/>
        <w:ind w:left="483"/>
      </w:pPr>
      <w:bookmarkStart w:name="_TOC_250001" w:id="18"/>
      <w:r>
        <w:rPr/>
        <w:t>PARTIDA</w:t>
      </w:r>
      <w:r>
        <w:rPr>
          <w:spacing w:val="-7"/>
        </w:rPr>
        <w:t> </w:t>
      </w:r>
      <w:r>
        <w:rPr/>
        <w:t>DE</w:t>
      </w:r>
      <w:r>
        <w:rPr>
          <w:spacing w:val="-14"/>
        </w:rPr>
        <w:t> </w:t>
      </w:r>
      <w:bookmarkEnd w:id="18"/>
      <w:r>
        <w:rPr>
          <w:spacing w:val="-2"/>
        </w:rPr>
        <w:t>GASTOS</w:t>
      </w:r>
    </w:p>
    <w:p>
      <w:pPr>
        <w:pStyle w:val="BodyText"/>
        <w:spacing w:before="153"/>
        <w:rPr>
          <w:b/>
          <w:sz w:val="20"/>
        </w:rPr>
      </w:pPr>
    </w:p>
    <w:tbl>
      <w:tblPr>
        <w:tblW w:w="0" w:type="auto"/>
        <w:jc w:val="left"/>
        <w:tblInd w:w="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21"/>
        <w:gridCol w:w="2009"/>
      </w:tblGrid>
      <w:tr>
        <w:trPr>
          <w:trHeight w:val="277" w:hRule="atLeast"/>
        </w:trPr>
        <w:tc>
          <w:tcPr>
            <w:tcW w:w="6921" w:type="dxa"/>
            <w:tcBorders>
              <w:top w:val="single" w:sz="8" w:space="0" w:color="000000"/>
              <w:bottom w:val="single" w:sz="18" w:space="0" w:color="000000"/>
            </w:tcBorders>
          </w:tcPr>
          <w:p>
            <w:pPr>
              <w:pStyle w:val="TableParagraph"/>
              <w:spacing w:line="257" w:lineRule="exact"/>
              <w:ind w:left="58"/>
              <w:rPr>
                <w:b/>
                <w:sz w:val="24"/>
              </w:rPr>
            </w:pPr>
            <w:r>
              <w:rPr>
                <w:b/>
                <w:color w:val="BF0000"/>
                <w:spacing w:val="2"/>
                <w:w w:val="85"/>
                <w:sz w:val="24"/>
              </w:rPr>
              <w:t>PRESUPUESTO</w:t>
            </w:r>
            <w:r>
              <w:rPr>
                <w:b/>
                <w:color w:val="BF0000"/>
                <w:spacing w:val="20"/>
                <w:sz w:val="24"/>
              </w:rPr>
              <w:t> </w:t>
            </w:r>
            <w:r>
              <w:rPr>
                <w:b/>
                <w:color w:val="BF0000"/>
                <w:spacing w:val="-4"/>
                <w:sz w:val="24"/>
              </w:rPr>
              <w:t>2026</w:t>
            </w:r>
          </w:p>
        </w:tc>
        <w:tc>
          <w:tcPr>
            <w:tcW w:w="2009" w:type="dxa"/>
            <w:tcBorders>
              <w:top w:val="single" w:sz="8" w:space="0" w:color="000000"/>
              <w:bottom w:val="single" w:sz="18" w:space="0" w:color="000000"/>
            </w:tcBorders>
          </w:tcPr>
          <w:p>
            <w:pPr>
              <w:pStyle w:val="TableParagraph"/>
              <w:rPr>
                <w:rFonts w:ascii="Times New Roman"/>
                <w:sz w:val="20"/>
              </w:rPr>
            </w:pPr>
          </w:p>
        </w:tc>
      </w:tr>
      <w:tr>
        <w:trPr>
          <w:trHeight w:val="302" w:hRule="atLeast"/>
        </w:trPr>
        <w:tc>
          <w:tcPr>
            <w:tcW w:w="6921" w:type="dxa"/>
            <w:tcBorders>
              <w:top w:val="single" w:sz="18" w:space="0" w:color="000000"/>
            </w:tcBorders>
          </w:tcPr>
          <w:p>
            <w:pPr>
              <w:pStyle w:val="TableParagraph"/>
              <w:spacing w:line="282" w:lineRule="exact"/>
              <w:ind w:left="58"/>
              <w:rPr>
                <w:sz w:val="24"/>
              </w:rPr>
            </w:pPr>
            <w:r>
              <w:rPr>
                <w:spacing w:val="-6"/>
                <w:sz w:val="24"/>
              </w:rPr>
              <w:t>Aprobado</w:t>
            </w:r>
            <w:r>
              <w:rPr>
                <w:spacing w:val="-19"/>
                <w:sz w:val="24"/>
              </w:rPr>
              <w:t> </w:t>
            </w:r>
            <w:r>
              <w:rPr>
                <w:spacing w:val="-6"/>
                <w:sz w:val="24"/>
              </w:rPr>
              <w:t>en</w:t>
            </w:r>
            <w:r>
              <w:rPr>
                <w:spacing w:val="-15"/>
                <w:sz w:val="24"/>
              </w:rPr>
              <w:t> </w:t>
            </w:r>
            <w:r>
              <w:rPr>
                <w:spacing w:val="-6"/>
                <w:sz w:val="24"/>
              </w:rPr>
              <w:t>la</w:t>
            </w:r>
            <w:r>
              <w:rPr>
                <w:spacing w:val="-15"/>
                <w:sz w:val="24"/>
              </w:rPr>
              <w:t> </w:t>
            </w:r>
            <w:r>
              <w:rPr>
                <w:spacing w:val="-6"/>
                <w:sz w:val="24"/>
              </w:rPr>
              <w:t>Junta</w:t>
            </w:r>
            <w:r>
              <w:rPr>
                <w:spacing w:val="-17"/>
                <w:sz w:val="24"/>
              </w:rPr>
              <w:t> </w:t>
            </w:r>
            <w:r>
              <w:rPr>
                <w:spacing w:val="-6"/>
                <w:sz w:val="24"/>
              </w:rPr>
              <w:t>General</w:t>
            </w:r>
            <w:r>
              <w:rPr>
                <w:spacing w:val="-14"/>
                <w:sz w:val="24"/>
              </w:rPr>
              <w:t> </w:t>
            </w:r>
            <w:r>
              <w:rPr>
                <w:spacing w:val="-6"/>
                <w:sz w:val="24"/>
              </w:rPr>
              <w:t>Ordinaria</w:t>
            </w:r>
            <w:r>
              <w:rPr>
                <w:spacing w:val="-15"/>
                <w:sz w:val="24"/>
              </w:rPr>
              <w:t> </w:t>
            </w:r>
            <w:r>
              <w:rPr>
                <w:spacing w:val="-6"/>
                <w:sz w:val="24"/>
              </w:rPr>
              <w:t>de</w:t>
            </w:r>
            <w:r>
              <w:rPr>
                <w:spacing w:val="-15"/>
                <w:sz w:val="24"/>
              </w:rPr>
              <w:t> </w:t>
            </w:r>
            <w:r>
              <w:rPr>
                <w:spacing w:val="-6"/>
                <w:sz w:val="24"/>
              </w:rPr>
              <w:t>20/10/2025</w:t>
            </w:r>
            <w:r>
              <w:rPr>
                <w:spacing w:val="43"/>
                <w:sz w:val="24"/>
              </w:rPr>
              <w:t> </w:t>
            </w:r>
            <w:r>
              <w:rPr>
                <w:spacing w:val="-6"/>
                <w:sz w:val="24"/>
              </w:rPr>
              <w:t>(En</w:t>
            </w:r>
            <w:r>
              <w:rPr>
                <w:spacing w:val="-15"/>
                <w:sz w:val="24"/>
              </w:rPr>
              <w:t> </w:t>
            </w:r>
            <w:r>
              <w:rPr>
                <w:spacing w:val="-6"/>
                <w:sz w:val="24"/>
              </w:rPr>
              <w:t>Euro)</w:t>
            </w:r>
          </w:p>
        </w:tc>
        <w:tc>
          <w:tcPr>
            <w:tcW w:w="2009" w:type="dxa"/>
            <w:tcBorders>
              <w:top w:val="single" w:sz="18" w:space="0" w:color="000000"/>
            </w:tcBorders>
          </w:tcPr>
          <w:p>
            <w:pPr>
              <w:pStyle w:val="TableParagraph"/>
              <w:rPr>
                <w:rFonts w:ascii="Times New Roman"/>
                <w:sz w:val="20"/>
              </w:rPr>
            </w:pPr>
          </w:p>
        </w:tc>
      </w:tr>
      <w:tr>
        <w:trPr>
          <w:trHeight w:val="335" w:hRule="atLeast"/>
        </w:trPr>
        <w:tc>
          <w:tcPr>
            <w:tcW w:w="6921" w:type="dxa"/>
          </w:tcPr>
          <w:p>
            <w:pPr>
              <w:pStyle w:val="TableParagraph"/>
              <w:spacing w:before="12"/>
              <w:ind w:left="58"/>
              <w:rPr>
                <w:b/>
                <w:sz w:val="24"/>
              </w:rPr>
            </w:pPr>
            <w:r>
              <w:rPr>
                <w:b/>
                <w:color w:val="BF0000"/>
                <w:w w:val="80"/>
                <w:sz w:val="24"/>
              </w:rPr>
              <w:t>CAPITULO</w:t>
            </w:r>
            <w:r>
              <w:rPr>
                <w:b/>
                <w:color w:val="BF0000"/>
                <w:spacing w:val="18"/>
                <w:sz w:val="24"/>
              </w:rPr>
              <w:t> </w:t>
            </w:r>
            <w:r>
              <w:rPr>
                <w:b/>
                <w:color w:val="BF0000"/>
                <w:w w:val="80"/>
                <w:sz w:val="24"/>
              </w:rPr>
              <w:t>I.-</w:t>
            </w:r>
            <w:r>
              <w:rPr>
                <w:b/>
                <w:color w:val="BF0000"/>
                <w:spacing w:val="13"/>
                <w:sz w:val="24"/>
              </w:rPr>
              <w:t> </w:t>
            </w:r>
            <w:r>
              <w:rPr>
                <w:b/>
                <w:color w:val="BF0000"/>
                <w:w w:val="80"/>
                <w:sz w:val="24"/>
              </w:rPr>
              <w:t>SEDE</w:t>
            </w:r>
            <w:r>
              <w:rPr>
                <w:b/>
                <w:color w:val="BF0000"/>
                <w:spacing w:val="16"/>
                <w:sz w:val="24"/>
              </w:rPr>
              <w:t> </w:t>
            </w:r>
            <w:r>
              <w:rPr>
                <w:b/>
                <w:color w:val="BF0000"/>
                <w:spacing w:val="-2"/>
                <w:w w:val="80"/>
                <w:sz w:val="24"/>
              </w:rPr>
              <w:t>SOCIAL</w:t>
            </w:r>
          </w:p>
        </w:tc>
        <w:tc>
          <w:tcPr>
            <w:tcW w:w="2009" w:type="dxa"/>
          </w:tcPr>
          <w:p>
            <w:pPr>
              <w:pStyle w:val="TableParagraph"/>
              <w:rPr>
                <w:rFonts w:ascii="Times New Roman"/>
                <w:sz w:val="20"/>
              </w:rPr>
            </w:pPr>
          </w:p>
        </w:tc>
      </w:tr>
      <w:tr>
        <w:trPr>
          <w:trHeight w:val="307" w:hRule="atLeast"/>
        </w:trPr>
        <w:tc>
          <w:tcPr>
            <w:tcW w:w="6921" w:type="dxa"/>
          </w:tcPr>
          <w:p>
            <w:pPr>
              <w:pStyle w:val="TableParagraph"/>
              <w:spacing w:line="256" w:lineRule="exact" w:before="31"/>
              <w:ind w:left="78"/>
              <w:rPr>
                <w:sz w:val="22"/>
              </w:rPr>
            </w:pPr>
            <w:r>
              <w:rPr>
                <w:spacing w:val="-3"/>
                <w:sz w:val="22"/>
              </w:rPr>
              <w:t>Manteniemiento-</w:t>
            </w:r>
            <w:r>
              <w:rPr>
                <w:spacing w:val="-2"/>
                <w:sz w:val="22"/>
              </w:rPr>
              <w:t>Conservación</w:t>
            </w:r>
          </w:p>
        </w:tc>
        <w:tc>
          <w:tcPr>
            <w:tcW w:w="2009" w:type="dxa"/>
          </w:tcPr>
          <w:p>
            <w:pPr>
              <w:pStyle w:val="TableParagraph"/>
              <w:spacing w:line="256" w:lineRule="exact" w:before="31"/>
              <w:ind w:right="-15"/>
              <w:jc w:val="right"/>
              <w:rPr>
                <w:sz w:val="22"/>
              </w:rPr>
            </w:pPr>
            <w:r>
              <w:rPr>
                <w:sz w:val="22"/>
              </w:rPr>
              <w:t>50,00</w:t>
            </w:r>
            <w:r>
              <w:rPr>
                <w:spacing w:val="-5"/>
                <w:sz w:val="22"/>
              </w:rPr>
              <w:t> </w:t>
            </w:r>
            <w:r>
              <w:rPr>
                <w:spacing w:val="-10"/>
                <w:sz w:val="22"/>
              </w:rPr>
              <w:t>€</w:t>
            </w:r>
          </w:p>
        </w:tc>
      </w:tr>
      <w:tr>
        <w:trPr>
          <w:trHeight w:val="285" w:hRule="atLeast"/>
        </w:trPr>
        <w:tc>
          <w:tcPr>
            <w:tcW w:w="6921" w:type="dxa"/>
          </w:tcPr>
          <w:p>
            <w:pPr>
              <w:pStyle w:val="TableParagraph"/>
              <w:spacing w:line="258" w:lineRule="exact" w:before="7"/>
              <w:ind w:left="78"/>
              <w:rPr>
                <w:sz w:val="22"/>
              </w:rPr>
            </w:pPr>
            <w:r>
              <w:rPr>
                <w:sz w:val="22"/>
              </w:rPr>
              <w:t>Agua</w:t>
            </w:r>
            <w:r>
              <w:rPr>
                <w:spacing w:val="-6"/>
                <w:sz w:val="22"/>
              </w:rPr>
              <w:t> </w:t>
            </w:r>
            <w:r>
              <w:rPr>
                <w:sz w:val="22"/>
              </w:rPr>
              <w:t>y</w:t>
            </w:r>
            <w:r>
              <w:rPr>
                <w:spacing w:val="-3"/>
                <w:sz w:val="22"/>
              </w:rPr>
              <w:t> </w:t>
            </w:r>
            <w:r>
              <w:rPr>
                <w:spacing w:val="-2"/>
                <w:sz w:val="22"/>
              </w:rPr>
              <w:t>electricidad</w:t>
            </w:r>
          </w:p>
        </w:tc>
        <w:tc>
          <w:tcPr>
            <w:tcW w:w="2009" w:type="dxa"/>
          </w:tcPr>
          <w:p>
            <w:pPr>
              <w:pStyle w:val="TableParagraph"/>
              <w:spacing w:line="258" w:lineRule="exact" w:before="7"/>
              <w:ind w:right="-15"/>
              <w:jc w:val="right"/>
              <w:rPr>
                <w:sz w:val="22"/>
              </w:rPr>
            </w:pPr>
            <w:r>
              <w:rPr>
                <w:sz w:val="22"/>
              </w:rPr>
              <w:t>280,00</w:t>
            </w:r>
            <w:r>
              <w:rPr>
                <w:spacing w:val="-6"/>
                <w:sz w:val="22"/>
              </w:rPr>
              <w:t> </w:t>
            </w:r>
            <w:r>
              <w:rPr>
                <w:spacing w:val="-10"/>
                <w:sz w:val="22"/>
              </w:rPr>
              <w:t>€</w:t>
            </w:r>
          </w:p>
        </w:tc>
      </w:tr>
      <w:tr>
        <w:trPr>
          <w:trHeight w:val="290" w:hRule="atLeast"/>
        </w:trPr>
        <w:tc>
          <w:tcPr>
            <w:tcW w:w="6921" w:type="dxa"/>
          </w:tcPr>
          <w:p>
            <w:pPr>
              <w:pStyle w:val="TableParagraph"/>
              <w:spacing w:line="260" w:lineRule="exact" w:before="10"/>
              <w:ind w:left="78"/>
              <w:rPr>
                <w:sz w:val="22"/>
              </w:rPr>
            </w:pPr>
            <w:r>
              <w:rPr>
                <w:spacing w:val="-3"/>
                <w:sz w:val="22"/>
              </w:rPr>
              <w:t>Télefono-</w:t>
            </w:r>
            <w:r>
              <w:rPr>
                <w:spacing w:val="-2"/>
                <w:sz w:val="22"/>
              </w:rPr>
              <w:t>comunicación</w:t>
            </w:r>
          </w:p>
        </w:tc>
        <w:tc>
          <w:tcPr>
            <w:tcW w:w="2009" w:type="dxa"/>
          </w:tcPr>
          <w:p>
            <w:pPr>
              <w:pStyle w:val="TableParagraph"/>
              <w:spacing w:line="260" w:lineRule="exact" w:before="10"/>
              <w:ind w:right="-15"/>
              <w:jc w:val="right"/>
              <w:rPr>
                <w:sz w:val="22"/>
              </w:rPr>
            </w:pPr>
            <w:r>
              <w:rPr>
                <w:sz w:val="22"/>
              </w:rPr>
              <w:t>280,00</w:t>
            </w:r>
            <w:r>
              <w:rPr>
                <w:spacing w:val="-6"/>
                <w:sz w:val="22"/>
              </w:rPr>
              <w:t> </w:t>
            </w:r>
            <w:r>
              <w:rPr>
                <w:spacing w:val="-10"/>
                <w:sz w:val="22"/>
              </w:rPr>
              <w:t>€</w:t>
            </w:r>
          </w:p>
        </w:tc>
      </w:tr>
      <w:tr>
        <w:trPr>
          <w:trHeight w:val="293" w:hRule="atLeast"/>
        </w:trPr>
        <w:tc>
          <w:tcPr>
            <w:tcW w:w="6921" w:type="dxa"/>
          </w:tcPr>
          <w:p>
            <w:pPr>
              <w:pStyle w:val="TableParagraph"/>
              <w:spacing w:line="261" w:lineRule="exact" w:before="12"/>
              <w:ind w:left="78"/>
              <w:rPr>
                <w:sz w:val="22"/>
              </w:rPr>
            </w:pPr>
            <w:r>
              <w:rPr>
                <w:spacing w:val="-2"/>
                <w:sz w:val="22"/>
              </w:rPr>
              <w:t>Comunidad</w:t>
            </w:r>
          </w:p>
        </w:tc>
        <w:tc>
          <w:tcPr>
            <w:tcW w:w="2009" w:type="dxa"/>
          </w:tcPr>
          <w:p>
            <w:pPr>
              <w:pStyle w:val="TableParagraph"/>
              <w:spacing w:line="261" w:lineRule="exact" w:before="12"/>
              <w:ind w:right="-15"/>
              <w:jc w:val="right"/>
              <w:rPr>
                <w:sz w:val="22"/>
              </w:rPr>
            </w:pPr>
            <w:r>
              <w:rPr>
                <w:sz w:val="22"/>
              </w:rPr>
              <w:t>600,00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5"/>
                <w:sz w:val="22"/>
              </w:rPr>
              <w:t>CAPITULO</w:t>
            </w:r>
            <w:r>
              <w:rPr>
                <w:b/>
                <w:color w:val="BF0000"/>
                <w:spacing w:val="19"/>
                <w:sz w:val="22"/>
              </w:rPr>
              <w:t> </w:t>
            </w:r>
            <w:r>
              <w:rPr>
                <w:b/>
                <w:color w:val="BF0000"/>
                <w:w w:val="85"/>
                <w:sz w:val="22"/>
              </w:rPr>
              <w:t>II.-</w:t>
            </w:r>
            <w:r>
              <w:rPr>
                <w:b/>
                <w:color w:val="BF0000"/>
                <w:spacing w:val="18"/>
                <w:sz w:val="22"/>
              </w:rPr>
              <w:t> </w:t>
            </w:r>
            <w:r>
              <w:rPr>
                <w:b/>
                <w:color w:val="BF0000"/>
                <w:spacing w:val="-2"/>
                <w:w w:val="85"/>
                <w:sz w:val="22"/>
              </w:rPr>
              <w:t>OFICINA</w:t>
            </w:r>
          </w:p>
        </w:tc>
        <w:tc>
          <w:tcPr>
            <w:tcW w:w="2009" w:type="dxa"/>
            <w:shd w:val="clear" w:color="auto" w:fill="D8D8D8"/>
          </w:tcPr>
          <w:p>
            <w:pPr>
              <w:pStyle w:val="TableParagraph"/>
              <w:rPr>
                <w:rFonts w:ascii="Times New Roman"/>
                <w:sz w:val="20"/>
              </w:rPr>
            </w:pPr>
          </w:p>
        </w:tc>
      </w:tr>
      <w:tr>
        <w:trPr>
          <w:trHeight w:val="284" w:hRule="atLeast"/>
        </w:trPr>
        <w:tc>
          <w:tcPr>
            <w:tcW w:w="6921" w:type="dxa"/>
          </w:tcPr>
          <w:p>
            <w:pPr>
              <w:pStyle w:val="TableParagraph"/>
              <w:spacing w:line="253" w:lineRule="exact" w:before="11"/>
              <w:ind w:left="78"/>
              <w:rPr>
                <w:sz w:val="22"/>
              </w:rPr>
            </w:pPr>
            <w:r>
              <w:rPr>
                <w:spacing w:val="-4"/>
                <w:sz w:val="22"/>
              </w:rPr>
              <w:t>Material</w:t>
            </w:r>
            <w:r>
              <w:rPr>
                <w:spacing w:val="-7"/>
                <w:sz w:val="22"/>
              </w:rPr>
              <w:t> </w:t>
            </w:r>
            <w:r>
              <w:rPr>
                <w:spacing w:val="-4"/>
                <w:sz w:val="22"/>
              </w:rPr>
              <w:t>de</w:t>
            </w:r>
            <w:r>
              <w:rPr>
                <w:spacing w:val="-7"/>
                <w:sz w:val="22"/>
              </w:rPr>
              <w:t> </w:t>
            </w:r>
            <w:r>
              <w:rPr>
                <w:spacing w:val="-4"/>
                <w:sz w:val="22"/>
              </w:rPr>
              <w:t>oficina</w:t>
            </w:r>
            <w:r>
              <w:rPr>
                <w:spacing w:val="-6"/>
                <w:sz w:val="22"/>
              </w:rPr>
              <w:t> </w:t>
            </w:r>
            <w:r>
              <w:rPr>
                <w:spacing w:val="-4"/>
                <w:sz w:val="22"/>
              </w:rPr>
              <w:t>y</w:t>
            </w:r>
            <w:r>
              <w:rPr>
                <w:spacing w:val="-3"/>
                <w:sz w:val="22"/>
              </w:rPr>
              <w:t> </w:t>
            </w:r>
            <w:r>
              <w:rPr>
                <w:spacing w:val="-4"/>
                <w:sz w:val="22"/>
              </w:rPr>
              <w:t>correspondencia</w:t>
            </w:r>
          </w:p>
        </w:tc>
        <w:tc>
          <w:tcPr>
            <w:tcW w:w="2009" w:type="dxa"/>
          </w:tcPr>
          <w:p>
            <w:pPr>
              <w:pStyle w:val="TableParagraph"/>
              <w:spacing w:line="253" w:lineRule="exact" w:before="11"/>
              <w:ind w:right="-15"/>
              <w:jc w:val="right"/>
              <w:rPr>
                <w:sz w:val="22"/>
              </w:rPr>
            </w:pPr>
            <w:r>
              <w:rPr>
                <w:sz w:val="22"/>
              </w:rPr>
              <w:t>50,00</w:t>
            </w:r>
            <w:r>
              <w:rPr>
                <w:spacing w:val="-5"/>
                <w:sz w:val="22"/>
              </w:rPr>
              <w:t> </w:t>
            </w:r>
            <w:r>
              <w:rPr>
                <w:spacing w:val="-10"/>
                <w:sz w:val="22"/>
              </w:rPr>
              <w:t>€</w:t>
            </w:r>
          </w:p>
        </w:tc>
      </w:tr>
      <w:tr>
        <w:trPr>
          <w:trHeight w:val="297" w:hRule="atLeast"/>
        </w:trPr>
        <w:tc>
          <w:tcPr>
            <w:tcW w:w="6921" w:type="dxa"/>
          </w:tcPr>
          <w:p>
            <w:pPr>
              <w:pStyle w:val="TableParagraph"/>
              <w:spacing w:before="5"/>
              <w:ind w:left="78"/>
              <w:rPr>
                <w:sz w:val="22"/>
              </w:rPr>
            </w:pPr>
            <w:r>
              <w:rPr>
                <w:spacing w:val="-2"/>
                <w:sz w:val="22"/>
              </w:rPr>
              <w:t>Gestión</w:t>
            </w:r>
            <w:r>
              <w:rPr>
                <w:spacing w:val="1"/>
                <w:sz w:val="22"/>
              </w:rPr>
              <w:t> </w:t>
            </w:r>
            <w:r>
              <w:rPr>
                <w:spacing w:val="-5"/>
                <w:sz w:val="22"/>
              </w:rPr>
              <w:t>web</w:t>
            </w:r>
          </w:p>
        </w:tc>
        <w:tc>
          <w:tcPr>
            <w:tcW w:w="2009" w:type="dxa"/>
          </w:tcPr>
          <w:p>
            <w:pPr>
              <w:pStyle w:val="TableParagraph"/>
              <w:spacing w:before="5"/>
              <w:ind w:right="-15"/>
              <w:jc w:val="right"/>
              <w:rPr>
                <w:sz w:val="22"/>
              </w:rPr>
            </w:pPr>
            <w:r>
              <w:rPr>
                <w:sz w:val="22"/>
              </w:rPr>
              <w:t>600,00</w:t>
            </w:r>
            <w:r>
              <w:rPr>
                <w:spacing w:val="-6"/>
                <w:sz w:val="22"/>
              </w:rPr>
              <w:t> </w:t>
            </w:r>
            <w:r>
              <w:rPr>
                <w:spacing w:val="-10"/>
                <w:sz w:val="22"/>
              </w:rPr>
              <w:t>€</w:t>
            </w:r>
          </w:p>
        </w:tc>
      </w:tr>
      <w:tr>
        <w:trPr>
          <w:trHeight w:val="301" w:hRule="atLeast"/>
        </w:trPr>
        <w:tc>
          <w:tcPr>
            <w:tcW w:w="6921" w:type="dxa"/>
          </w:tcPr>
          <w:p>
            <w:pPr>
              <w:pStyle w:val="TableParagraph"/>
              <w:spacing w:line="257" w:lineRule="exact" w:before="24"/>
              <w:ind w:left="78"/>
              <w:rPr>
                <w:sz w:val="22"/>
              </w:rPr>
            </w:pPr>
            <w:r>
              <w:rPr>
                <w:sz w:val="22"/>
              </w:rPr>
              <w:t>Protección</w:t>
            </w:r>
            <w:r>
              <w:rPr>
                <w:spacing w:val="-8"/>
                <w:sz w:val="22"/>
              </w:rPr>
              <w:t> </w:t>
            </w:r>
            <w:r>
              <w:rPr>
                <w:sz w:val="22"/>
              </w:rPr>
              <w:t>de</w:t>
            </w:r>
            <w:r>
              <w:rPr>
                <w:spacing w:val="-6"/>
                <w:sz w:val="22"/>
              </w:rPr>
              <w:t> </w:t>
            </w:r>
            <w:r>
              <w:rPr>
                <w:spacing w:val="-2"/>
                <w:sz w:val="22"/>
              </w:rPr>
              <w:t>datos</w:t>
            </w:r>
          </w:p>
        </w:tc>
        <w:tc>
          <w:tcPr>
            <w:tcW w:w="2009" w:type="dxa"/>
          </w:tcPr>
          <w:p>
            <w:pPr>
              <w:pStyle w:val="TableParagraph"/>
              <w:spacing w:line="257" w:lineRule="exact" w:before="24"/>
              <w:ind w:right="-15"/>
              <w:jc w:val="right"/>
              <w:rPr>
                <w:sz w:val="22"/>
              </w:rPr>
            </w:pPr>
            <w:r>
              <w:rPr>
                <w:sz w:val="22"/>
              </w:rPr>
              <w:t>227,00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5"/>
                <w:sz w:val="22"/>
              </w:rPr>
              <w:t>CAPITULO</w:t>
            </w:r>
            <w:r>
              <w:rPr>
                <w:b/>
                <w:color w:val="BF0000"/>
                <w:spacing w:val="-4"/>
                <w:w w:val="85"/>
                <w:sz w:val="22"/>
              </w:rPr>
              <w:t> </w:t>
            </w:r>
            <w:r>
              <w:rPr>
                <w:b/>
                <w:color w:val="BF0000"/>
                <w:w w:val="85"/>
                <w:sz w:val="22"/>
              </w:rPr>
              <w:t>III.-</w:t>
            </w:r>
            <w:r>
              <w:rPr>
                <w:b/>
                <w:color w:val="BF0000"/>
                <w:spacing w:val="31"/>
                <w:sz w:val="22"/>
              </w:rPr>
              <w:t> </w:t>
            </w:r>
            <w:r>
              <w:rPr>
                <w:b/>
                <w:color w:val="BF0000"/>
                <w:w w:val="85"/>
                <w:sz w:val="22"/>
              </w:rPr>
              <w:t>ASESORÍAS</w:t>
            </w:r>
            <w:r>
              <w:rPr>
                <w:b/>
                <w:color w:val="BF0000"/>
                <w:spacing w:val="-5"/>
                <w:w w:val="85"/>
                <w:sz w:val="22"/>
              </w:rPr>
              <w:t> </w:t>
            </w:r>
            <w:r>
              <w:rPr>
                <w:b/>
                <w:color w:val="BF0000"/>
                <w:w w:val="85"/>
                <w:sz w:val="22"/>
              </w:rPr>
              <w:t>Y</w:t>
            </w:r>
            <w:r>
              <w:rPr>
                <w:b/>
                <w:color w:val="BF0000"/>
                <w:spacing w:val="-4"/>
                <w:w w:val="85"/>
                <w:sz w:val="22"/>
              </w:rPr>
              <w:t> </w:t>
            </w:r>
            <w:r>
              <w:rPr>
                <w:b/>
                <w:color w:val="BF0000"/>
                <w:spacing w:val="-2"/>
                <w:w w:val="85"/>
                <w:sz w:val="22"/>
              </w:rPr>
              <w:t>SEGUROS</w:t>
            </w:r>
          </w:p>
        </w:tc>
        <w:tc>
          <w:tcPr>
            <w:tcW w:w="2009" w:type="dxa"/>
            <w:shd w:val="clear" w:color="auto" w:fill="D8D8D8"/>
          </w:tcPr>
          <w:p>
            <w:pPr>
              <w:pStyle w:val="TableParagraph"/>
              <w:rPr>
                <w:rFonts w:ascii="Times New Roman"/>
                <w:sz w:val="20"/>
              </w:rPr>
            </w:pPr>
          </w:p>
        </w:tc>
      </w:tr>
      <w:tr>
        <w:trPr>
          <w:trHeight w:val="284" w:hRule="atLeast"/>
        </w:trPr>
        <w:tc>
          <w:tcPr>
            <w:tcW w:w="6921" w:type="dxa"/>
          </w:tcPr>
          <w:p>
            <w:pPr>
              <w:pStyle w:val="TableParagraph"/>
              <w:spacing w:line="253" w:lineRule="exact" w:before="11"/>
              <w:ind w:left="78"/>
              <w:rPr>
                <w:sz w:val="22"/>
              </w:rPr>
            </w:pPr>
            <w:r>
              <w:rPr>
                <w:sz w:val="22"/>
              </w:rPr>
              <w:t>Seguro</w:t>
            </w:r>
            <w:r>
              <w:rPr>
                <w:spacing w:val="-10"/>
                <w:sz w:val="22"/>
              </w:rPr>
              <w:t> </w:t>
            </w:r>
            <w:r>
              <w:rPr>
                <w:spacing w:val="-4"/>
                <w:sz w:val="22"/>
              </w:rPr>
              <w:t>sede</w:t>
            </w:r>
          </w:p>
        </w:tc>
        <w:tc>
          <w:tcPr>
            <w:tcW w:w="2009" w:type="dxa"/>
          </w:tcPr>
          <w:p>
            <w:pPr>
              <w:pStyle w:val="TableParagraph"/>
              <w:spacing w:line="253" w:lineRule="exact" w:before="11"/>
              <w:ind w:right="-15"/>
              <w:jc w:val="right"/>
              <w:rPr>
                <w:sz w:val="22"/>
              </w:rPr>
            </w:pPr>
            <w:r>
              <w:rPr>
                <w:sz w:val="22"/>
              </w:rPr>
              <w:t>225,00</w:t>
            </w:r>
            <w:r>
              <w:rPr>
                <w:spacing w:val="-6"/>
                <w:sz w:val="22"/>
              </w:rPr>
              <w:t> </w:t>
            </w:r>
            <w:r>
              <w:rPr>
                <w:spacing w:val="-10"/>
                <w:sz w:val="22"/>
              </w:rPr>
              <w:t>€</w:t>
            </w:r>
          </w:p>
        </w:tc>
      </w:tr>
      <w:tr>
        <w:trPr>
          <w:trHeight w:val="285" w:hRule="atLeast"/>
        </w:trPr>
        <w:tc>
          <w:tcPr>
            <w:tcW w:w="6921" w:type="dxa"/>
          </w:tcPr>
          <w:p>
            <w:pPr>
              <w:pStyle w:val="TableParagraph"/>
              <w:spacing w:line="260" w:lineRule="exact" w:before="5"/>
              <w:ind w:left="78"/>
              <w:rPr>
                <w:sz w:val="22"/>
              </w:rPr>
            </w:pPr>
            <w:r>
              <w:rPr>
                <w:spacing w:val="-2"/>
                <w:sz w:val="22"/>
              </w:rPr>
              <w:t>Defensa</w:t>
            </w:r>
            <w:r>
              <w:rPr>
                <w:spacing w:val="-3"/>
                <w:sz w:val="22"/>
              </w:rPr>
              <w:t> </w:t>
            </w:r>
            <w:r>
              <w:rPr>
                <w:spacing w:val="-2"/>
                <w:sz w:val="22"/>
              </w:rPr>
              <w:t>profesional</w:t>
            </w:r>
          </w:p>
        </w:tc>
        <w:tc>
          <w:tcPr>
            <w:tcW w:w="2009" w:type="dxa"/>
          </w:tcPr>
          <w:p>
            <w:pPr>
              <w:pStyle w:val="TableParagraph"/>
              <w:spacing w:line="260" w:lineRule="exact" w:before="5"/>
              <w:ind w:right="-15"/>
              <w:jc w:val="right"/>
              <w:rPr>
                <w:sz w:val="22"/>
              </w:rPr>
            </w:pPr>
            <w:r>
              <w:rPr>
                <w:sz w:val="22"/>
              </w:rPr>
              <w:t>300,00</w:t>
            </w:r>
            <w:r>
              <w:rPr>
                <w:spacing w:val="-6"/>
                <w:sz w:val="22"/>
              </w:rPr>
              <w:t> </w:t>
            </w:r>
            <w:r>
              <w:rPr>
                <w:spacing w:val="-10"/>
                <w:sz w:val="22"/>
              </w:rPr>
              <w:t>€</w:t>
            </w:r>
          </w:p>
        </w:tc>
      </w:tr>
      <w:tr>
        <w:trPr>
          <w:trHeight w:val="290" w:hRule="atLeast"/>
        </w:trPr>
        <w:tc>
          <w:tcPr>
            <w:tcW w:w="6921" w:type="dxa"/>
          </w:tcPr>
          <w:p>
            <w:pPr>
              <w:pStyle w:val="TableParagraph"/>
              <w:spacing w:line="258" w:lineRule="exact" w:before="12"/>
              <w:ind w:left="78"/>
              <w:rPr>
                <w:sz w:val="22"/>
              </w:rPr>
            </w:pPr>
            <w:r>
              <w:rPr>
                <w:spacing w:val="-6"/>
                <w:sz w:val="22"/>
              </w:rPr>
              <w:t>Asesoría</w:t>
            </w:r>
            <w:r>
              <w:rPr>
                <w:spacing w:val="-2"/>
                <w:sz w:val="22"/>
              </w:rPr>
              <w:t> </w:t>
            </w:r>
            <w:r>
              <w:rPr>
                <w:spacing w:val="-6"/>
                <w:sz w:val="22"/>
              </w:rPr>
              <w:t>fiscal,</w:t>
            </w:r>
            <w:r>
              <w:rPr>
                <w:spacing w:val="-1"/>
                <w:sz w:val="22"/>
              </w:rPr>
              <w:t> </w:t>
            </w:r>
            <w:r>
              <w:rPr>
                <w:spacing w:val="-6"/>
                <w:sz w:val="22"/>
              </w:rPr>
              <w:t>laboral</w:t>
            </w:r>
            <w:r>
              <w:rPr>
                <w:spacing w:val="-2"/>
                <w:sz w:val="22"/>
              </w:rPr>
              <w:t> </w:t>
            </w:r>
            <w:r>
              <w:rPr>
                <w:spacing w:val="-6"/>
                <w:sz w:val="22"/>
              </w:rPr>
              <w:t>y</w:t>
            </w:r>
            <w:r>
              <w:rPr>
                <w:spacing w:val="2"/>
                <w:sz w:val="22"/>
              </w:rPr>
              <w:t> </w:t>
            </w:r>
            <w:r>
              <w:rPr>
                <w:spacing w:val="-6"/>
                <w:sz w:val="22"/>
              </w:rPr>
              <w:t>contable</w:t>
            </w:r>
          </w:p>
        </w:tc>
        <w:tc>
          <w:tcPr>
            <w:tcW w:w="2009" w:type="dxa"/>
          </w:tcPr>
          <w:p>
            <w:pPr>
              <w:pStyle w:val="TableParagraph"/>
              <w:spacing w:line="258" w:lineRule="exact" w:before="12"/>
              <w:ind w:right="-15"/>
              <w:jc w:val="right"/>
              <w:rPr>
                <w:sz w:val="22"/>
              </w:rPr>
            </w:pPr>
            <w:r>
              <w:rPr>
                <w:sz w:val="22"/>
              </w:rPr>
              <w:t>640,00</w:t>
            </w:r>
            <w:r>
              <w:rPr>
                <w:spacing w:val="-6"/>
                <w:sz w:val="22"/>
              </w:rPr>
              <w:t> </w:t>
            </w:r>
            <w:r>
              <w:rPr>
                <w:spacing w:val="-10"/>
                <w:sz w:val="22"/>
              </w:rPr>
              <w:t>€</w:t>
            </w:r>
          </w:p>
        </w:tc>
      </w:tr>
      <w:tr>
        <w:trPr>
          <w:trHeight w:val="290" w:hRule="atLeast"/>
        </w:trPr>
        <w:tc>
          <w:tcPr>
            <w:tcW w:w="6921" w:type="dxa"/>
          </w:tcPr>
          <w:p>
            <w:pPr>
              <w:pStyle w:val="TableParagraph"/>
              <w:spacing w:line="260" w:lineRule="exact" w:before="10"/>
              <w:ind w:left="78"/>
              <w:rPr>
                <w:sz w:val="22"/>
              </w:rPr>
            </w:pPr>
            <w:r>
              <w:rPr>
                <w:w w:val="85"/>
                <w:sz w:val="22"/>
              </w:rPr>
              <w:t>Seguro</w:t>
            </w:r>
            <w:r>
              <w:rPr>
                <w:spacing w:val="10"/>
                <w:sz w:val="22"/>
              </w:rPr>
              <w:t> </w:t>
            </w:r>
            <w:r>
              <w:rPr>
                <w:w w:val="85"/>
                <w:sz w:val="22"/>
              </w:rPr>
              <w:t>RC</w:t>
            </w:r>
            <w:r>
              <w:rPr>
                <w:spacing w:val="11"/>
                <w:sz w:val="22"/>
              </w:rPr>
              <w:t> </w:t>
            </w:r>
            <w:r>
              <w:rPr>
                <w:w w:val="85"/>
                <w:sz w:val="22"/>
              </w:rPr>
              <w:t>PSN</w:t>
            </w:r>
            <w:r>
              <w:rPr>
                <w:spacing w:val="12"/>
                <w:sz w:val="22"/>
              </w:rPr>
              <w:t> </w:t>
            </w:r>
            <w:r>
              <w:rPr>
                <w:w w:val="85"/>
                <w:sz w:val="22"/>
              </w:rPr>
              <w:t>Junta</w:t>
            </w:r>
            <w:r>
              <w:rPr>
                <w:spacing w:val="10"/>
                <w:sz w:val="22"/>
              </w:rPr>
              <w:t> </w:t>
            </w:r>
            <w:r>
              <w:rPr>
                <w:spacing w:val="-2"/>
                <w:w w:val="85"/>
                <w:sz w:val="22"/>
              </w:rPr>
              <w:t>Directiva</w:t>
            </w:r>
          </w:p>
        </w:tc>
        <w:tc>
          <w:tcPr>
            <w:tcW w:w="2009" w:type="dxa"/>
          </w:tcPr>
          <w:p>
            <w:pPr>
              <w:pStyle w:val="TableParagraph"/>
              <w:spacing w:line="260" w:lineRule="exact" w:before="10"/>
              <w:ind w:right="-15"/>
              <w:jc w:val="right"/>
              <w:rPr>
                <w:sz w:val="22"/>
              </w:rPr>
            </w:pPr>
            <w:r>
              <w:rPr>
                <w:sz w:val="22"/>
              </w:rPr>
              <w:t>430,00</w:t>
            </w:r>
            <w:r>
              <w:rPr>
                <w:spacing w:val="-6"/>
                <w:sz w:val="22"/>
              </w:rPr>
              <w:t> </w:t>
            </w:r>
            <w:r>
              <w:rPr>
                <w:spacing w:val="-10"/>
                <w:sz w:val="22"/>
              </w:rPr>
              <w:t>€</w:t>
            </w:r>
          </w:p>
        </w:tc>
      </w:tr>
      <w:tr>
        <w:trPr>
          <w:trHeight w:val="293" w:hRule="atLeast"/>
        </w:trPr>
        <w:tc>
          <w:tcPr>
            <w:tcW w:w="6921" w:type="dxa"/>
          </w:tcPr>
          <w:p>
            <w:pPr>
              <w:pStyle w:val="TableParagraph"/>
              <w:spacing w:line="261" w:lineRule="exact" w:before="12"/>
              <w:ind w:left="78"/>
              <w:rPr>
                <w:sz w:val="22"/>
              </w:rPr>
            </w:pPr>
            <w:r>
              <w:rPr>
                <w:spacing w:val="-6"/>
                <w:sz w:val="22"/>
              </w:rPr>
              <w:t>Seguro</w:t>
            </w:r>
            <w:r>
              <w:rPr>
                <w:spacing w:val="-3"/>
                <w:sz w:val="22"/>
              </w:rPr>
              <w:t> </w:t>
            </w:r>
            <w:r>
              <w:rPr>
                <w:spacing w:val="-6"/>
                <w:sz w:val="22"/>
              </w:rPr>
              <w:t>de</w:t>
            </w:r>
            <w:r>
              <w:rPr>
                <w:spacing w:val="-2"/>
                <w:sz w:val="22"/>
              </w:rPr>
              <w:t> </w:t>
            </w:r>
            <w:r>
              <w:rPr>
                <w:spacing w:val="-6"/>
                <w:sz w:val="22"/>
              </w:rPr>
              <w:t>accidentes</w:t>
            </w:r>
            <w:r>
              <w:rPr>
                <w:spacing w:val="1"/>
                <w:sz w:val="22"/>
              </w:rPr>
              <w:t> </w:t>
            </w:r>
            <w:r>
              <w:rPr>
                <w:spacing w:val="-6"/>
                <w:sz w:val="22"/>
              </w:rPr>
              <w:t>colectivo</w:t>
            </w:r>
          </w:p>
        </w:tc>
        <w:tc>
          <w:tcPr>
            <w:tcW w:w="2009" w:type="dxa"/>
          </w:tcPr>
          <w:p>
            <w:pPr>
              <w:pStyle w:val="TableParagraph"/>
              <w:spacing w:line="261" w:lineRule="exact" w:before="12"/>
              <w:ind w:right="-15"/>
              <w:jc w:val="right"/>
              <w:rPr>
                <w:sz w:val="22"/>
              </w:rPr>
            </w:pPr>
            <w:r>
              <w:rPr>
                <w:sz w:val="22"/>
              </w:rPr>
              <w:t>90,00</w:t>
            </w:r>
            <w:r>
              <w:rPr>
                <w:spacing w:val="-5"/>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0"/>
                <w:sz w:val="22"/>
              </w:rPr>
              <w:t>CAPÍTULO</w:t>
            </w:r>
            <w:r>
              <w:rPr>
                <w:b/>
                <w:color w:val="BF0000"/>
                <w:spacing w:val="18"/>
                <w:sz w:val="22"/>
              </w:rPr>
              <w:t> </w:t>
            </w:r>
            <w:r>
              <w:rPr>
                <w:b/>
                <w:color w:val="BF0000"/>
                <w:w w:val="80"/>
                <w:sz w:val="22"/>
              </w:rPr>
              <w:t>IV.-</w:t>
            </w:r>
            <w:r>
              <w:rPr>
                <w:b/>
                <w:color w:val="BF0000"/>
                <w:spacing w:val="19"/>
                <w:sz w:val="22"/>
              </w:rPr>
              <w:t> </w:t>
            </w:r>
            <w:r>
              <w:rPr>
                <w:b/>
                <w:color w:val="BF0000"/>
                <w:spacing w:val="-2"/>
                <w:w w:val="80"/>
                <w:sz w:val="22"/>
              </w:rPr>
              <w:t>REPRESENTACIÓN</w:t>
            </w:r>
          </w:p>
        </w:tc>
        <w:tc>
          <w:tcPr>
            <w:tcW w:w="2009" w:type="dxa"/>
            <w:shd w:val="clear" w:color="auto" w:fill="D8D8D8"/>
          </w:tcPr>
          <w:p>
            <w:pPr>
              <w:pStyle w:val="TableParagraph"/>
              <w:rPr>
                <w:rFonts w:ascii="Times New Roman"/>
                <w:sz w:val="20"/>
              </w:rPr>
            </w:pPr>
          </w:p>
        </w:tc>
      </w:tr>
      <w:tr>
        <w:trPr>
          <w:trHeight w:val="286" w:hRule="atLeast"/>
        </w:trPr>
        <w:tc>
          <w:tcPr>
            <w:tcW w:w="6921" w:type="dxa"/>
          </w:tcPr>
          <w:p>
            <w:pPr>
              <w:pStyle w:val="TableParagraph"/>
              <w:spacing w:line="256" w:lineRule="exact" w:before="11"/>
              <w:ind w:left="78"/>
              <w:rPr>
                <w:sz w:val="22"/>
              </w:rPr>
            </w:pPr>
            <w:r>
              <w:rPr>
                <w:spacing w:val="-6"/>
                <w:sz w:val="22"/>
              </w:rPr>
              <w:t>Representación</w:t>
            </w:r>
            <w:r>
              <w:rPr>
                <w:spacing w:val="-7"/>
                <w:sz w:val="22"/>
              </w:rPr>
              <w:t> </w:t>
            </w:r>
            <w:r>
              <w:rPr>
                <w:spacing w:val="-6"/>
                <w:sz w:val="22"/>
              </w:rPr>
              <w:t>en</w:t>
            </w:r>
            <w:r>
              <w:rPr>
                <w:spacing w:val="-7"/>
                <w:sz w:val="22"/>
              </w:rPr>
              <w:t> </w:t>
            </w:r>
            <w:r>
              <w:rPr>
                <w:spacing w:val="-6"/>
                <w:sz w:val="22"/>
              </w:rPr>
              <w:t>actos</w:t>
            </w:r>
            <w:r>
              <w:rPr>
                <w:spacing w:val="-4"/>
                <w:sz w:val="22"/>
              </w:rPr>
              <w:t> </w:t>
            </w:r>
            <w:r>
              <w:rPr>
                <w:spacing w:val="-6"/>
                <w:sz w:val="22"/>
              </w:rPr>
              <w:t>sociales</w:t>
            </w:r>
          </w:p>
        </w:tc>
        <w:tc>
          <w:tcPr>
            <w:tcW w:w="2009" w:type="dxa"/>
          </w:tcPr>
          <w:p>
            <w:pPr>
              <w:pStyle w:val="TableParagraph"/>
              <w:spacing w:line="256" w:lineRule="exact" w:before="11"/>
              <w:ind w:right="-15"/>
              <w:jc w:val="right"/>
              <w:rPr>
                <w:sz w:val="22"/>
              </w:rPr>
            </w:pPr>
            <w:r>
              <w:rPr>
                <w:sz w:val="22"/>
              </w:rPr>
              <w:t>500,00</w:t>
            </w:r>
            <w:r>
              <w:rPr>
                <w:spacing w:val="-6"/>
                <w:sz w:val="22"/>
              </w:rPr>
              <w:t> </w:t>
            </w:r>
            <w:r>
              <w:rPr>
                <w:spacing w:val="-10"/>
                <w:sz w:val="22"/>
              </w:rPr>
              <w:t>€</w:t>
            </w:r>
          </w:p>
        </w:tc>
      </w:tr>
      <w:tr>
        <w:trPr>
          <w:trHeight w:val="289" w:hRule="atLeast"/>
        </w:trPr>
        <w:tc>
          <w:tcPr>
            <w:tcW w:w="6921" w:type="dxa"/>
          </w:tcPr>
          <w:p>
            <w:pPr>
              <w:pStyle w:val="TableParagraph"/>
              <w:spacing w:line="261" w:lineRule="exact" w:before="7"/>
              <w:ind w:left="78"/>
              <w:rPr>
                <w:sz w:val="22"/>
              </w:rPr>
            </w:pPr>
            <w:r>
              <w:rPr>
                <w:spacing w:val="-6"/>
                <w:sz w:val="22"/>
              </w:rPr>
              <w:t>Representación</w:t>
            </w:r>
            <w:r>
              <w:rPr>
                <w:spacing w:val="-1"/>
                <w:sz w:val="22"/>
              </w:rPr>
              <w:t> </w:t>
            </w:r>
            <w:r>
              <w:rPr>
                <w:spacing w:val="-6"/>
                <w:sz w:val="22"/>
              </w:rPr>
              <w:t>administrativa,</w:t>
            </w:r>
            <w:r>
              <w:rPr>
                <w:sz w:val="22"/>
              </w:rPr>
              <w:t> </w:t>
            </w:r>
            <w:r>
              <w:rPr>
                <w:spacing w:val="-6"/>
                <w:sz w:val="22"/>
              </w:rPr>
              <w:t>jurídica</w:t>
            </w:r>
            <w:r>
              <w:rPr>
                <w:spacing w:val="-1"/>
                <w:sz w:val="22"/>
              </w:rPr>
              <w:t> </w:t>
            </w:r>
            <w:r>
              <w:rPr>
                <w:spacing w:val="-6"/>
                <w:sz w:val="22"/>
              </w:rPr>
              <w:t>y</w:t>
            </w:r>
            <w:r>
              <w:rPr>
                <w:spacing w:val="3"/>
                <w:sz w:val="22"/>
              </w:rPr>
              <w:t> </w:t>
            </w:r>
            <w:r>
              <w:rPr>
                <w:spacing w:val="-6"/>
                <w:sz w:val="22"/>
              </w:rPr>
              <w:t>técnica</w:t>
            </w:r>
          </w:p>
        </w:tc>
        <w:tc>
          <w:tcPr>
            <w:tcW w:w="2009" w:type="dxa"/>
          </w:tcPr>
          <w:p>
            <w:pPr>
              <w:pStyle w:val="TableParagraph"/>
              <w:spacing w:line="261" w:lineRule="exact" w:before="7"/>
              <w:ind w:right="-15"/>
              <w:jc w:val="right"/>
              <w:rPr>
                <w:sz w:val="22"/>
              </w:rPr>
            </w:pPr>
            <w:r>
              <w:rPr>
                <w:sz w:val="22"/>
              </w:rPr>
              <w:t>300,00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0"/>
                <w:sz w:val="22"/>
              </w:rPr>
              <w:t>CAPÍTULO</w:t>
            </w:r>
            <w:r>
              <w:rPr>
                <w:b/>
                <w:color w:val="BF0000"/>
                <w:spacing w:val="20"/>
                <w:sz w:val="22"/>
              </w:rPr>
              <w:t> </w:t>
            </w:r>
            <w:r>
              <w:rPr>
                <w:b/>
                <w:color w:val="BF0000"/>
                <w:w w:val="80"/>
                <w:sz w:val="22"/>
              </w:rPr>
              <w:t>V.-</w:t>
            </w:r>
            <w:r>
              <w:rPr>
                <w:b/>
                <w:color w:val="BF0000"/>
                <w:spacing w:val="20"/>
                <w:sz w:val="22"/>
              </w:rPr>
              <w:t> </w:t>
            </w:r>
            <w:r>
              <w:rPr>
                <w:b/>
                <w:color w:val="BF0000"/>
                <w:w w:val="80"/>
                <w:sz w:val="22"/>
              </w:rPr>
              <w:t>ORGANISMOS</w:t>
            </w:r>
            <w:r>
              <w:rPr>
                <w:b/>
                <w:color w:val="BF0000"/>
                <w:spacing w:val="21"/>
                <w:sz w:val="22"/>
              </w:rPr>
              <w:t> </w:t>
            </w:r>
            <w:r>
              <w:rPr>
                <w:b/>
                <w:color w:val="BF0000"/>
                <w:w w:val="80"/>
                <w:sz w:val="22"/>
              </w:rPr>
              <w:t>Y</w:t>
            </w:r>
            <w:r>
              <w:rPr>
                <w:b/>
                <w:color w:val="BF0000"/>
                <w:spacing w:val="20"/>
                <w:sz w:val="22"/>
              </w:rPr>
              <w:t> </w:t>
            </w:r>
            <w:r>
              <w:rPr>
                <w:b/>
                <w:color w:val="BF0000"/>
                <w:spacing w:val="-2"/>
                <w:w w:val="80"/>
                <w:sz w:val="22"/>
              </w:rPr>
              <w:t>ASOCIACIONES</w:t>
            </w:r>
          </w:p>
        </w:tc>
        <w:tc>
          <w:tcPr>
            <w:tcW w:w="2009" w:type="dxa"/>
            <w:shd w:val="clear" w:color="auto" w:fill="D8D8D8"/>
          </w:tcPr>
          <w:p>
            <w:pPr>
              <w:pStyle w:val="TableParagraph"/>
              <w:rPr>
                <w:rFonts w:ascii="Times New Roman"/>
                <w:sz w:val="20"/>
              </w:rPr>
            </w:pPr>
          </w:p>
        </w:tc>
      </w:tr>
      <w:tr>
        <w:trPr>
          <w:trHeight w:val="286" w:hRule="atLeast"/>
        </w:trPr>
        <w:tc>
          <w:tcPr>
            <w:tcW w:w="6921" w:type="dxa"/>
          </w:tcPr>
          <w:p>
            <w:pPr>
              <w:pStyle w:val="TableParagraph"/>
              <w:spacing w:line="256" w:lineRule="exact" w:before="11"/>
              <w:ind w:left="78"/>
              <w:rPr>
                <w:sz w:val="22"/>
              </w:rPr>
            </w:pPr>
            <w:r>
              <w:rPr>
                <w:spacing w:val="-6"/>
                <w:sz w:val="22"/>
              </w:rPr>
              <w:t>Cuotas Consejo</w:t>
            </w:r>
            <w:r>
              <w:rPr>
                <w:spacing w:val="-5"/>
                <w:sz w:val="22"/>
              </w:rPr>
              <w:t> </w:t>
            </w:r>
            <w:r>
              <w:rPr>
                <w:spacing w:val="-6"/>
                <w:sz w:val="22"/>
              </w:rPr>
              <w:t>General</w:t>
            </w:r>
          </w:p>
        </w:tc>
        <w:tc>
          <w:tcPr>
            <w:tcW w:w="2009" w:type="dxa"/>
          </w:tcPr>
          <w:p>
            <w:pPr>
              <w:pStyle w:val="TableParagraph"/>
              <w:spacing w:line="256" w:lineRule="exact" w:before="11"/>
              <w:ind w:right="-15"/>
              <w:jc w:val="right"/>
              <w:rPr>
                <w:sz w:val="22"/>
              </w:rPr>
            </w:pPr>
            <w:r>
              <w:rPr>
                <w:sz w:val="22"/>
              </w:rPr>
              <w:t>1.472,00</w:t>
            </w:r>
            <w:r>
              <w:rPr>
                <w:spacing w:val="-8"/>
                <w:sz w:val="22"/>
              </w:rPr>
              <w:t> </w:t>
            </w:r>
            <w:r>
              <w:rPr>
                <w:spacing w:val="-10"/>
                <w:sz w:val="22"/>
              </w:rPr>
              <w:t>€</w:t>
            </w:r>
          </w:p>
        </w:tc>
      </w:tr>
      <w:tr>
        <w:trPr>
          <w:trHeight w:val="285" w:hRule="atLeast"/>
        </w:trPr>
        <w:tc>
          <w:tcPr>
            <w:tcW w:w="6921" w:type="dxa"/>
          </w:tcPr>
          <w:p>
            <w:pPr>
              <w:pStyle w:val="TableParagraph"/>
              <w:spacing w:line="258" w:lineRule="exact" w:before="7"/>
              <w:ind w:left="78"/>
              <w:rPr>
                <w:sz w:val="22"/>
              </w:rPr>
            </w:pPr>
            <w:r>
              <w:rPr>
                <w:spacing w:val="-2"/>
                <w:sz w:val="22"/>
              </w:rPr>
              <w:t>AQIQC</w:t>
            </w:r>
          </w:p>
        </w:tc>
        <w:tc>
          <w:tcPr>
            <w:tcW w:w="2009" w:type="dxa"/>
          </w:tcPr>
          <w:p>
            <w:pPr>
              <w:pStyle w:val="TableParagraph"/>
              <w:spacing w:line="258" w:lineRule="exact" w:before="7"/>
              <w:ind w:right="-15"/>
              <w:jc w:val="right"/>
              <w:rPr>
                <w:sz w:val="22"/>
              </w:rPr>
            </w:pPr>
            <w:r>
              <w:rPr>
                <w:sz w:val="22"/>
              </w:rPr>
              <w:t>123,00</w:t>
            </w:r>
            <w:r>
              <w:rPr>
                <w:spacing w:val="-6"/>
                <w:sz w:val="22"/>
              </w:rPr>
              <w:t> </w:t>
            </w:r>
            <w:r>
              <w:rPr>
                <w:spacing w:val="-10"/>
                <w:sz w:val="22"/>
              </w:rPr>
              <w:t>€</w:t>
            </w:r>
          </w:p>
        </w:tc>
      </w:tr>
      <w:tr>
        <w:trPr>
          <w:trHeight w:val="296" w:hRule="atLeast"/>
        </w:trPr>
        <w:tc>
          <w:tcPr>
            <w:tcW w:w="6921" w:type="dxa"/>
          </w:tcPr>
          <w:p>
            <w:pPr>
              <w:pStyle w:val="TableParagraph"/>
              <w:spacing w:line="266" w:lineRule="exact" w:before="10"/>
              <w:ind w:left="78"/>
              <w:rPr>
                <w:sz w:val="22"/>
              </w:rPr>
            </w:pPr>
            <w:r>
              <w:rPr>
                <w:spacing w:val="-5"/>
                <w:w w:val="95"/>
                <w:sz w:val="22"/>
              </w:rPr>
              <w:t>ACP</w:t>
            </w:r>
          </w:p>
        </w:tc>
        <w:tc>
          <w:tcPr>
            <w:tcW w:w="2009" w:type="dxa"/>
          </w:tcPr>
          <w:p>
            <w:pPr>
              <w:pStyle w:val="TableParagraph"/>
              <w:spacing w:line="266" w:lineRule="exact" w:before="10"/>
              <w:ind w:right="-15"/>
              <w:jc w:val="right"/>
              <w:rPr>
                <w:sz w:val="22"/>
              </w:rPr>
            </w:pPr>
            <w:r>
              <w:rPr>
                <w:sz w:val="22"/>
              </w:rPr>
              <w:t>300,00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5"/>
                <w:sz w:val="22"/>
              </w:rPr>
              <w:t>CAPÍTULO</w:t>
            </w:r>
            <w:r>
              <w:rPr>
                <w:b/>
                <w:color w:val="BF0000"/>
                <w:spacing w:val="4"/>
                <w:sz w:val="22"/>
              </w:rPr>
              <w:t> </w:t>
            </w:r>
            <w:r>
              <w:rPr>
                <w:b/>
                <w:color w:val="BF0000"/>
                <w:w w:val="85"/>
                <w:sz w:val="22"/>
              </w:rPr>
              <w:t>VI.</w:t>
            </w:r>
            <w:r>
              <w:rPr>
                <w:b/>
                <w:color w:val="BF0000"/>
                <w:spacing w:val="17"/>
                <w:sz w:val="22"/>
              </w:rPr>
              <w:t> </w:t>
            </w:r>
            <w:r>
              <w:rPr>
                <w:b/>
                <w:color w:val="BF0000"/>
                <w:w w:val="85"/>
                <w:sz w:val="22"/>
              </w:rPr>
              <w:t>-</w:t>
            </w:r>
            <w:r>
              <w:rPr>
                <w:b/>
                <w:color w:val="BF0000"/>
                <w:spacing w:val="4"/>
                <w:sz w:val="22"/>
              </w:rPr>
              <w:t> </w:t>
            </w:r>
            <w:r>
              <w:rPr>
                <w:b/>
                <w:color w:val="BF0000"/>
                <w:w w:val="85"/>
                <w:sz w:val="22"/>
              </w:rPr>
              <w:t>APOYO</w:t>
            </w:r>
            <w:r>
              <w:rPr>
                <w:b/>
                <w:color w:val="BF0000"/>
                <w:spacing w:val="6"/>
                <w:sz w:val="22"/>
              </w:rPr>
              <w:t> </w:t>
            </w:r>
            <w:r>
              <w:rPr>
                <w:b/>
                <w:color w:val="BF0000"/>
                <w:spacing w:val="-2"/>
                <w:w w:val="85"/>
                <w:sz w:val="22"/>
              </w:rPr>
              <w:t>FORMACIÓN</w:t>
            </w:r>
          </w:p>
        </w:tc>
        <w:tc>
          <w:tcPr>
            <w:tcW w:w="2009" w:type="dxa"/>
            <w:shd w:val="clear" w:color="auto" w:fill="D8D8D8"/>
          </w:tcPr>
          <w:p>
            <w:pPr>
              <w:pStyle w:val="TableParagraph"/>
              <w:rPr>
                <w:rFonts w:ascii="Times New Roman"/>
                <w:sz w:val="20"/>
              </w:rPr>
            </w:pPr>
          </w:p>
        </w:tc>
      </w:tr>
      <w:tr>
        <w:trPr>
          <w:trHeight w:val="288" w:hRule="atLeast"/>
        </w:trPr>
        <w:tc>
          <w:tcPr>
            <w:tcW w:w="6921" w:type="dxa"/>
          </w:tcPr>
          <w:p>
            <w:pPr>
              <w:pStyle w:val="TableParagraph"/>
              <w:spacing w:line="261" w:lineRule="exact" w:before="6"/>
              <w:ind w:left="78"/>
              <w:rPr>
                <w:sz w:val="22"/>
              </w:rPr>
            </w:pPr>
            <w:r>
              <w:rPr>
                <w:spacing w:val="-4"/>
                <w:sz w:val="22"/>
              </w:rPr>
              <w:t>Secretaría </w:t>
            </w:r>
            <w:r>
              <w:rPr>
                <w:spacing w:val="-2"/>
                <w:sz w:val="22"/>
              </w:rPr>
              <w:t>Técnica</w:t>
            </w:r>
          </w:p>
        </w:tc>
        <w:tc>
          <w:tcPr>
            <w:tcW w:w="2009" w:type="dxa"/>
          </w:tcPr>
          <w:p>
            <w:pPr>
              <w:pStyle w:val="TableParagraph"/>
              <w:spacing w:line="261" w:lineRule="exact" w:before="6"/>
              <w:ind w:right="-15"/>
              <w:jc w:val="right"/>
              <w:rPr>
                <w:sz w:val="22"/>
              </w:rPr>
            </w:pPr>
            <w:r>
              <w:rPr>
                <w:spacing w:val="-5"/>
                <w:sz w:val="22"/>
              </w:rPr>
              <w:t>100,00</w:t>
            </w:r>
            <w:r>
              <w:rPr>
                <w:spacing w:val="-4"/>
                <w:sz w:val="22"/>
              </w:rPr>
              <w:t> </w:t>
            </w:r>
            <w:r>
              <w:rPr>
                <w:spacing w:val="-10"/>
                <w:sz w:val="22"/>
              </w:rPr>
              <w:t>€</w:t>
            </w:r>
          </w:p>
        </w:tc>
      </w:tr>
      <w:tr>
        <w:trPr>
          <w:trHeight w:val="287" w:hRule="atLeast"/>
        </w:trPr>
        <w:tc>
          <w:tcPr>
            <w:tcW w:w="6921" w:type="dxa"/>
            <w:shd w:val="clear" w:color="auto" w:fill="D8D8D8"/>
          </w:tcPr>
          <w:p>
            <w:pPr>
              <w:pStyle w:val="TableParagraph"/>
              <w:spacing w:line="257" w:lineRule="exact" w:before="11"/>
              <w:ind w:left="78"/>
              <w:rPr>
                <w:b/>
                <w:sz w:val="22"/>
              </w:rPr>
            </w:pPr>
            <w:r>
              <w:rPr>
                <w:b/>
                <w:color w:val="BF0000"/>
                <w:w w:val="80"/>
                <w:sz w:val="22"/>
              </w:rPr>
              <w:t>CAPÍTULO</w:t>
            </w:r>
            <w:r>
              <w:rPr>
                <w:b/>
                <w:color w:val="BF0000"/>
                <w:spacing w:val="23"/>
                <w:sz w:val="22"/>
              </w:rPr>
              <w:t> </w:t>
            </w:r>
            <w:r>
              <w:rPr>
                <w:b/>
                <w:color w:val="BF0000"/>
                <w:w w:val="80"/>
                <w:sz w:val="22"/>
              </w:rPr>
              <w:t>VII.-</w:t>
            </w:r>
            <w:r>
              <w:rPr>
                <w:b/>
                <w:color w:val="BF0000"/>
                <w:spacing w:val="24"/>
                <w:sz w:val="22"/>
              </w:rPr>
              <w:t> </w:t>
            </w:r>
            <w:r>
              <w:rPr>
                <w:b/>
                <w:color w:val="BF0000"/>
                <w:w w:val="80"/>
                <w:sz w:val="22"/>
              </w:rPr>
              <w:t>IMPUESTOS</w:t>
            </w:r>
            <w:r>
              <w:rPr>
                <w:b/>
                <w:color w:val="BF0000"/>
                <w:spacing w:val="24"/>
                <w:sz w:val="22"/>
              </w:rPr>
              <w:t> </w:t>
            </w:r>
            <w:r>
              <w:rPr>
                <w:b/>
                <w:color w:val="BF0000"/>
                <w:w w:val="80"/>
                <w:sz w:val="22"/>
              </w:rPr>
              <w:t>Y</w:t>
            </w:r>
            <w:r>
              <w:rPr>
                <w:b/>
                <w:color w:val="BF0000"/>
                <w:spacing w:val="24"/>
                <w:sz w:val="22"/>
              </w:rPr>
              <w:t> </w:t>
            </w:r>
            <w:r>
              <w:rPr>
                <w:b/>
                <w:color w:val="BF0000"/>
                <w:w w:val="80"/>
                <w:sz w:val="22"/>
              </w:rPr>
              <w:t>COMISIONES</w:t>
            </w:r>
            <w:r>
              <w:rPr>
                <w:b/>
                <w:color w:val="BF0000"/>
                <w:spacing w:val="24"/>
                <w:sz w:val="22"/>
              </w:rPr>
              <w:t> </w:t>
            </w:r>
            <w:r>
              <w:rPr>
                <w:b/>
                <w:color w:val="BF0000"/>
                <w:spacing w:val="-2"/>
                <w:w w:val="80"/>
                <w:sz w:val="22"/>
              </w:rPr>
              <w:t>BANCARIAS</w:t>
            </w:r>
          </w:p>
        </w:tc>
        <w:tc>
          <w:tcPr>
            <w:tcW w:w="2009" w:type="dxa"/>
            <w:shd w:val="clear" w:color="auto" w:fill="D8D8D8"/>
          </w:tcPr>
          <w:p>
            <w:pPr>
              <w:pStyle w:val="TableParagraph"/>
              <w:rPr>
                <w:rFonts w:ascii="Times New Roman"/>
                <w:sz w:val="20"/>
              </w:rPr>
            </w:pPr>
          </w:p>
        </w:tc>
      </w:tr>
      <w:tr>
        <w:trPr>
          <w:trHeight w:val="286" w:hRule="atLeast"/>
        </w:trPr>
        <w:tc>
          <w:tcPr>
            <w:tcW w:w="6921" w:type="dxa"/>
          </w:tcPr>
          <w:p>
            <w:pPr>
              <w:pStyle w:val="TableParagraph"/>
              <w:spacing w:line="256" w:lineRule="exact" w:before="11"/>
              <w:ind w:left="78"/>
              <w:rPr>
                <w:sz w:val="22"/>
              </w:rPr>
            </w:pPr>
            <w:r>
              <w:rPr>
                <w:spacing w:val="-4"/>
                <w:sz w:val="22"/>
              </w:rPr>
              <w:t>Gastos</w:t>
            </w:r>
            <w:r>
              <w:rPr>
                <w:spacing w:val="-8"/>
                <w:sz w:val="22"/>
              </w:rPr>
              <w:t> </w:t>
            </w:r>
            <w:r>
              <w:rPr>
                <w:spacing w:val="-2"/>
                <w:sz w:val="22"/>
              </w:rPr>
              <w:t>Bancarios</w:t>
            </w:r>
          </w:p>
        </w:tc>
        <w:tc>
          <w:tcPr>
            <w:tcW w:w="2009" w:type="dxa"/>
          </w:tcPr>
          <w:p>
            <w:pPr>
              <w:pStyle w:val="TableParagraph"/>
              <w:spacing w:line="256" w:lineRule="exact" w:before="11"/>
              <w:ind w:right="-15"/>
              <w:jc w:val="right"/>
              <w:rPr>
                <w:sz w:val="22"/>
              </w:rPr>
            </w:pPr>
            <w:r>
              <w:rPr>
                <w:sz w:val="22"/>
              </w:rPr>
              <w:t>250,00</w:t>
            </w:r>
            <w:r>
              <w:rPr>
                <w:spacing w:val="-6"/>
                <w:sz w:val="22"/>
              </w:rPr>
              <w:t> </w:t>
            </w:r>
            <w:r>
              <w:rPr>
                <w:spacing w:val="-10"/>
                <w:sz w:val="22"/>
              </w:rPr>
              <w:t>€</w:t>
            </w:r>
          </w:p>
        </w:tc>
      </w:tr>
      <w:tr>
        <w:trPr>
          <w:trHeight w:val="285" w:hRule="atLeast"/>
        </w:trPr>
        <w:tc>
          <w:tcPr>
            <w:tcW w:w="6921" w:type="dxa"/>
          </w:tcPr>
          <w:p>
            <w:pPr>
              <w:pStyle w:val="TableParagraph"/>
              <w:spacing w:line="258" w:lineRule="exact" w:before="7"/>
              <w:ind w:left="78"/>
              <w:rPr>
                <w:sz w:val="22"/>
              </w:rPr>
            </w:pPr>
            <w:r>
              <w:rPr>
                <w:spacing w:val="-6"/>
                <w:sz w:val="22"/>
              </w:rPr>
              <w:t>Gastos</w:t>
            </w:r>
            <w:r>
              <w:rPr>
                <w:spacing w:val="-5"/>
                <w:sz w:val="22"/>
              </w:rPr>
              <w:t> </w:t>
            </w:r>
            <w:r>
              <w:rPr>
                <w:spacing w:val="-6"/>
                <w:sz w:val="22"/>
              </w:rPr>
              <w:t>Devolución</w:t>
            </w:r>
            <w:r>
              <w:rPr>
                <w:spacing w:val="-2"/>
                <w:sz w:val="22"/>
              </w:rPr>
              <w:t> </w:t>
            </w:r>
            <w:r>
              <w:rPr>
                <w:spacing w:val="-6"/>
                <w:sz w:val="22"/>
              </w:rPr>
              <w:t>Cuotas</w:t>
            </w:r>
          </w:p>
        </w:tc>
        <w:tc>
          <w:tcPr>
            <w:tcW w:w="2009" w:type="dxa"/>
          </w:tcPr>
          <w:p>
            <w:pPr>
              <w:pStyle w:val="TableParagraph"/>
              <w:spacing w:line="258" w:lineRule="exact" w:before="7"/>
              <w:ind w:right="-15"/>
              <w:jc w:val="right"/>
              <w:rPr>
                <w:sz w:val="22"/>
              </w:rPr>
            </w:pPr>
            <w:r>
              <w:rPr>
                <w:sz w:val="22"/>
              </w:rPr>
              <w:t>100,00</w:t>
            </w:r>
            <w:r>
              <w:rPr>
                <w:spacing w:val="-6"/>
                <w:sz w:val="22"/>
              </w:rPr>
              <w:t> </w:t>
            </w:r>
            <w:r>
              <w:rPr>
                <w:spacing w:val="-10"/>
                <w:sz w:val="22"/>
              </w:rPr>
              <w:t>€</w:t>
            </w:r>
          </w:p>
        </w:tc>
      </w:tr>
      <w:tr>
        <w:trPr>
          <w:trHeight w:val="290" w:hRule="atLeast"/>
        </w:trPr>
        <w:tc>
          <w:tcPr>
            <w:tcW w:w="6921" w:type="dxa"/>
          </w:tcPr>
          <w:p>
            <w:pPr>
              <w:pStyle w:val="TableParagraph"/>
              <w:spacing w:line="260" w:lineRule="exact" w:before="10"/>
              <w:ind w:left="78"/>
              <w:rPr>
                <w:sz w:val="22"/>
              </w:rPr>
            </w:pPr>
            <w:r>
              <w:rPr>
                <w:spacing w:val="-4"/>
                <w:sz w:val="22"/>
              </w:rPr>
              <w:t>IBI</w:t>
            </w:r>
            <w:r>
              <w:rPr>
                <w:spacing w:val="-9"/>
                <w:sz w:val="22"/>
              </w:rPr>
              <w:t> </w:t>
            </w:r>
            <w:r>
              <w:rPr>
                <w:spacing w:val="-4"/>
                <w:sz w:val="22"/>
              </w:rPr>
              <w:t>Inmueble</w:t>
            </w:r>
            <w:r>
              <w:rPr>
                <w:spacing w:val="-8"/>
                <w:sz w:val="22"/>
              </w:rPr>
              <w:t> </w:t>
            </w:r>
            <w:r>
              <w:rPr>
                <w:spacing w:val="-4"/>
                <w:sz w:val="22"/>
              </w:rPr>
              <w:t>Calle</w:t>
            </w:r>
            <w:r>
              <w:rPr>
                <w:spacing w:val="-7"/>
                <w:sz w:val="22"/>
              </w:rPr>
              <w:t> </w:t>
            </w:r>
            <w:r>
              <w:rPr>
                <w:spacing w:val="-4"/>
                <w:sz w:val="22"/>
              </w:rPr>
              <w:t>Castro</w:t>
            </w:r>
          </w:p>
        </w:tc>
        <w:tc>
          <w:tcPr>
            <w:tcW w:w="2009" w:type="dxa"/>
          </w:tcPr>
          <w:p>
            <w:pPr>
              <w:pStyle w:val="TableParagraph"/>
              <w:spacing w:line="260" w:lineRule="exact" w:before="10"/>
              <w:ind w:right="-15"/>
              <w:jc w:val="right"/>
              <w:rPr>
                <w:sz w:val="22"/>
              </w:rPr>
            </w:pPr>
            <w:r>
              <w:rPr>
                <w:sz w:val="22"/>
              </w:rPr>
              <w:t>275,00</w:t>
            </w:r>
            <w:r>
              <w:rPr>
                <w:spacing w:val="-6"/>
                <w:sz w:val="22"/>
              </w:rPr>
              <w:t> </w:t>
            </w:r>
            <w:r>
              <w:rPr>
                <w:spacing w:val="-10"/>
                <w:sz w:val="22"/>
              </w:rPr>
              <w:t>€</w:t>
            </w:r>
          </w:p>
        </w:tc>
      </w:tr>
      <w:tr>
        <w:trPr>
          <w:trHeight w:val="293" w:hRule="atLeast"/>
        </w:trPr>
        <w:tc>
          <w:tcPr>
            <w:tcW w:w="6921" w:type="dxa"/>
          </w:tcPr>
          <w:p>
            <w:pPr>
              <w:pStyle w:val="TableParagraph"/>
              <w:spacing w:line="261" w:lineRule="exact" w:before="12"/>
              <w:ind w:left="78"/>
              <w:rPr>
                <w:sz w:val="22"/>
              </w:rPr>
            </w:pPr>
            <w:r>
              <w:rPr>
                <w:spacing w:val="-2"/>
                <w:sz w:val="22"/>
              </w:rPr>
              <w:t>Impuesto</w:t>
            </w:r>
            <w:r>
              <w:rPr>
                <w:spacing w:val="-8"/>
                <w:sz w:val="22"/>
              </w:rPr>
              <w:t> </w:t>
            </w:r>
            <w:r>
              <w:rPr>
                <w:spacing w:val="-2"/>
                <w:sz w:val="22"/>
              </w:rPr>
              <w:t>Municipal</w:t>
            </w:r>
            <w:r>
              <w:rPr>
                <w:spacing w:val="-6"/>
                <w:sz w:val="22"/>
              </w:rPr>
              <w:t> </w:t>
            </w:r>
            <w:r>
              <w:rPr>
                <w:spacing w:val="-2"/>
                <w:sz w:val="22"/>
              </w:rPr>
              <w:t>Basura</w:t>
            </w:r>
          </w:p>
        </w:tc>
        <w:tc>
          <w:tcPr>
            <w:tcW w:w="2009" w:type="dxa"/>
          </w:tcPr>
          <w:p>
            <w:pPr>
              <w:pStyle w:val="TableParagraph"/>
              <w:spacing w:line="261" w:lineRule="exact" w:before="12"/>
              <w:ind w:right="-15"/>
              <w:jc w:val="right"/>
              <w:rPr>
                <w:sz w:val="22"/>
              </w:rPr>
            </w:pPr>
            <w:r>
              <w:rPr>
                <w:sz w:val="22"/>
              </w:rPr>
              <w:t>250,00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0"/>
                <w:sz w:val="22"/>
              </w:rPr>
              <w:t>CAPÍTULO</w:t>
            </w:r>
            <w:r>
              <w:rPr>
                <w:b/>
                <w:color w:val="BF0000"/>
                <w:spacing w:val="26"/>
                <w:sz w:val="22"/>
              </w:rPr>
              <w:t> </w:t>
            </w:r>
            <w:r>
              <w:rPr>
                <w:b/>
                <w:color w:val="BF0000"/>
                <w:w w:val="80"/>
                <w:sz w:val="22"/>
              </w:rPr>
              <w:t>VIII.-</w:t>
            </w:r>
            <w:r>
              <w:rPr>
                <w:b/>
                <w:color w:val="BF0000"/>
                <w:spacing w:val="26"/>
                <w:sz w:val="22"/>
              </w:rPr>
              <w:t> </w:t>
            </w:r>
            <w:r>
              <w:rPr>
                <w:b/>
                <w:color w:val="BF0000"/>
                <w:w w:val="80"/>
                <w:sz w:val="22"/>
              </w:rPr>
              <w:t>ORGANIZACIÓN</w:t>
            </w:r>
            <w:r>
              <w:rPr>
                <w:b/>
                <w:color w:val="BF0000"/>
                <w:spacing w:val="26"/>
                <w:sz w:val="22"/>
              </w:rPr>
              <w:t> </w:t>
            </w:r>
            <w:r>
              <w:rPr>
                <w:b/>
                <w:color w:val="BF0000"/>
                <w:w w:val="80"/>
                <w:sz w:val="22"/>
              </w:rPr>
              <w:t>Y</w:t>
            </w:r>
            <w:r>
              <w:rPr>
                <w:b/>
                <w:color w:val="BF0000"/>
                <w:spacing w:val="26"/>
                <w:sz w:val="22"/>
              </w:rPr>
              <w:t> </w:t>
            </w:r>
            <w:r>
              <w:rPr>
                <w:b/>
                <w:color w:val="BF0000"/>
                <w:w w:val="80"/>
                <w:sz w:val="22"/>
              </w:rPr>
              <w:t>COLABORACIÓN</w:t>
            </w:r>
            <w:r>
              <w:rPr>
                <w:b/>
                <w:color w:val="BF0000"/>
                <w:spacing w:val="26"/>
                <w:sz w:val="22"/>
              </w:rPr>
              <w:t> </w:t>
            </w:r>
            <w:r>
              <w:rPr>
                <w:b/>
                <w:color w:val="BF0000"/>
                <w:w w:val="80"/>
                <w:sz w:val="22"/>
              </w:rPr>
              <w:t>EVENTOS</w:t>
            </w:r>
            <w:r>
              <w:rPr>
                <w:b/>
                <w:color w:val="BF0000"/>
                <w:spacing w:val="23"/>
                <w:sz w:val="22"/>
              </w:rPr>
              <w:t> </w:t>
            </w:r>
            <w:r>
              <w:rPr>
                <w:b/>
                <w:color w:val="BF0000"/>
                <w:w w:val="80"/>
                <w:sz w:val="22"/>
              </w:rPr>
              <w:t>DE</w:t>
            </w:r>
            <w:r>
              <w:rPr>
                <w:b/>
                <w:color w:val="BF0000"/>
                <w:spacing w:val="26"/>
                <w:sz w:val="22"/>
              </w:rPr>
              <w:t> </w:t>
            </w:r>
            <w:r>
              <w:rPr>
                <w:b/>
                <w:color w:val="BF0000"/>
                <w:spacing w:val="-2"/>
                <w:w w:val="80"/>
                <w:sz w:val="22"/>
              </w:rPr>
              <w:t>EVENTOS</w:t>
            </w:r>
          </w:p>
        </w:tc>
        <w:tc>
          <w:tcPr>
            <w:tcW w:w="2009" w:type="dxa"/>
            <w:shd w:val="clear" w:color="auto" w:fill="D8D8D8"/>
          </w:tcPr>
          <w:p>
            <w:pPr>
              <w:pStyle w:val="TableParagraph"/>
              <w:rPr>
                <w:rFonts w:ascii="Times New Roman"/>
                <w:sz w:val="20"/>
              </w:rPr>
            </w:pPr>
          </w:p>
        </w:tc>
      </w:tr>
      <w:tr>
        <w:trPr>
          <w:trHeight w:val="286" w:hRule="atLeast"/>
        </w:trPr>
        <w:tc>
          <w:tcPr>
            <w:tcW w:w="6921" w:type="dxa"/>
          </w:tcPr>
          <w:p>
            <w:pPr>
              <w:pStyle w:val="TableParagraph"/>
              <w:spacing w:line="256" w:lineRule="exact" w:before="11"/>
              <w:ind w:left="78"/>
              <w:rPr>
                <w:sz w:val="22"/>
              </w:rPr>
            </w:pPr>
            <w:r>
              <w:rPr>
                <w:spacing w:val="-2"/>
                <w:sz w:val="22"/>
              </w:rPr>
              <w:t>Miniolimpiadas</w:t>
            </w:r>
          </w:p>
        </w:tc>
        <w:tc>
          <w:tcPr>
            <w:tcW w:w="2009" w:type="dxa"/>
          </w:tcPr>
          <w:p>
            <w:pPr>
              <w:pStyle w:val="TableParagraph"/>
              <w:spacing w:line="256" w:lineRule="exact" w:before="11"/>
              <w:ind w:right="-15"/>
              <w:jc w:val="right"/>
              <w:rPr>
                <w:sz w:val="22"/>
              </w:rPr>
            </w:pPr>
            <w:r>
              <w:rPr>
                <w:sz w:val="22"/>
              </w:rPr>
              <w:t>4.300,00</w:t>
            </w:r>
            <w:r>
              <w:rPr>
                <w:spacing w:val="-8"/>
                <w:sz w:val="22"/>
              </w:rPr>
              <w:t> </w:t>
            </w:r>
            <w:r>
              <w:rPr>
                <w:spacing w:val="-10"/>
                <w:sz w:val="22"/>
              </w:rPr>
              <w:t>€</w:t>
            </w:r>
          </w:p>
        </w:tc>
      </w:tr>
      <w:tr>
        <w:trPr>
          <w:trHeight w:val="285" w:hRule="atLeast"/>
        </w:trPr>
        <w:tc>
          <w:tcPr>
            <w:tcW w:w="6921" w:type="dxa"/>
          </w:tcPr>
          <w:p>
            <w:pPr>
              <w:pStyle w:val="TableParagraph"/>
              <w:spacing w:line="258" w:lineRule="exact" w:before="7"/>
              <w:ind w:left="78"/>
              <w:rPr>
                <w:sz w:val="22"/>
              </w:rPr>
            </w:pPr>
            <w:r>
              <w:rPr>
                <w:sz w:val="22"/>
              </w:rPr>
              <w:t>San</w:t>
            </w:r>
            <w:r>
              <w:rPr>
                <w:spacing w:val="-7"/>
                <w:sz w:val="22"/>
              </w:rPr>
              <w:t> </w:t>
            </w:r>
            <w:r>
              <w:rPr>
                <w:sz w:val="22"/>
              </w:rPr>
              <w:t>Alberto</w:t>
            </w:r>
            <w:r>
              <w:rPr>
                <w:spacing w:val="-6"/>
                <w:sz w:val="22"/>
              </w:rPr>
              <w:t> </w:t>
            </w:r>
            <w:r>
              <w:rPr>
                <w:spacing w:val="-2"/>
                <w:sz w:val="22"/>
              </w:rPr>
              <w:t>Magno</w:t>
            </w:r>
          </w:p>
        </w:tc>
        <w:tc>
          <w:tcPr>
            <w:tcW w:w="2009" w:type="dxa"/>
          </w:tcPr>
          <w:p>
            <w:pPr>
              <w:pStyle w:val="TableParagraph"/>
              <w:spacing w:line="258" w:lineRule="exact" w:before="7"/>
              <w:ind w:right="-15"/>
              <w:jc w:val="right"/>
              <w:rPr>
                <w:sz w:val="22"/>
              </w:rPr>
            </w:pPr>
            <w:r>
              <w:rPr>
                <w:sz w:val="22"/>
              </w:rPr>
              <w:t>1.500,00</w:t>
            </w:r>
            <w:r>
              <w:rPr>
                <w:spacing w:val="-8"/>
                <w:sz w:val="22"/>
              </w:rPr>
              <w:t> </w:t>
            </w:r>
            <w:r>
              <w:rPr>
                <w:spacing w:val="-10"/>
                <w:sz w:val="22"/>
              </w:rPr>
              <w:t>€</w:t>
            </w:r>
          </w:p>
        </w:tc>
      </w:tr>
      <w:tr>
        <w:trPr>
          <w:trHeight w:val="290" w:hRule="atLeast"/>
        </w:trPr>
        <w:tc>
          <w:tcPr>
            <w:tcW w:w="6921" w:type="dxa"/>
          </w:tcPr>
          <w:p>
            <w:pPr>
              <w:pStyle w:val="TableParagraph"/>
              <w:spacing w:line="260" w:lineRule="exact" w:before="10"/>
              <w:ind w:left="78"/>
              <w:rPr>
                <w:sz w:val="22"/>
              </w:rPr>
            </w:pPr>
            <w:r>
              <w:rPr>
                <w:spacing w:val="-6"/>
                <w:sz w:val="22"/>
              </w:rPr>
              <w:t>Congreso</w:t>
            </w:r>
            <w:r>
              <w:rPr>
                <w:spacing w:val="-19"/>
                <w:sz w:val="22"/>
              </w:rPr>
              <w:t> </w:t>
            </w:r>
            <w:r>
              <w:rPr>
                <w:spacing w:val="-6"/>
                <w:sz w:val="22"/>
              </w:rPr>
              <w:t>de</w:t>
            </w:r>
            <w:r>
              <w:rPr>
                <w:spacing w:val="-19"/>
                <w:sz w:val="22"/>
              </w:rPr>
              <w:t> </w:t>
            </w:r>
            <w:r>
              <w:rPr>
                <w:spacing w:val="-6"/>
                <w:sz w:val="22"/>
              </w:rPr>
              <w:t>Estudiantes</w:t>
            </w:r>
            <w:r>
              <w:rPr>
                <w:spacing w:val="-19"/>
                <w:sz w:val="22"/>
              </w:rPr>
              <w:t> </w:t>
            </w:r>
            <w:r>
              <w:rPr>
                <w:spacing w:val="-6"/>
                <w:sz w:val="22"/>
              </w:rPr>
              <w:t>ULL</w:t>
            </w:r>
          </w:p>
        </w:tc>
        <w:tc>
          <w:tcPr>
            <w:tcW w:w="2009" w:type="dxa"/>
          </w:tcPr>
          <w:p>
            <w:pPr>
              <w:pStyle w:val="TableParagraph"/>
              <w:spacing w:line="260" w:lineRule="exact" w:before="10"/>
              <w:ind w:right="-15"/>
              <w:jc w:val="right"/>
              <w:rPr>
                <w:sz w:val="22"/>
              </w:rPr>
            </w:pPr>
            <w:r>
              <w:rPr>
                <w:sz w:val="22"/>
              </w:rPr>
              <w:t>200,00</w:t>
            </w:r>
            <w:r>
              <w:rPr>
                <w:spacing w:val="-6"/>
                <w:sz w:val="22"/>
              </w:rPr>
              <w:t> </w:t>
            </w:r>
            <w:r>
              <w:rPr>
                <w:spacing w:val="-10"/>
                <w:sz w:val="22"/>
              </w:rPr>
              <w:t>€</w:t>
            </w:r>
          </w:p>
        </w:tc>
      </w:tr>
      <w:tr>
        <w:trPr>
          <w:trHeight w:val="293" w:hRule="atLeast"/>
        </w:trPr>
        <w:tc>
          <w:tcPr>
            <w:tcW w:w="6921" w:type="dxa"/>
          </w:tcPr>
          <w:p>
            <w:pPr>
              <w:pStyle w:val="TableParagraph"/>
              <w:spacing w:line="261" w:lineRule="exact" w:before="12"/>
              <w:ind w:left="78"/>
              <w:rPr>
                <w:sz w:val="22"/>
              </w:rPr>
            </w:pPr>
            <w:r>
              <w:rPr>
                <w:spacing w:val="-2"/>
                <w:sz w:val="22"/>
              </w:rPr>
              <w:t>Actos</w:t>
            </w:r>
            <w:r>
              <w:rPr>
                <w:spacing w:val="-8"/>
                <w:sz w:val="22"/>
              </w:rPr>
              <w:t> </w:t>
            </w:r>
            <w:r>
              <w:rPr>
                <w:spacing w:val="-2"/>
                <w:sz w:val="22"/>
              </w:rPr>
              <w:t>70</w:t>
            </w:r>
            <w:r>
              <w:rPr>
                <w:spacing w:val="-4"/>
                <w:sz w:val="22"/>
              </w:rPr>
              <w:t> </w:t>
            </w:r>
            <w:r>
              <w:rPr>
                <w:spacing w:val="-2"/>
                <w:sz w:val="22"/>
              </w:rPr>
              <w:t>aniversario</w:t>
            </w:r>
          </w:p>
        </w:tc>
        <w:tc>
          <w:tcPr>
            <w:tcW w:w="2009" w:type="dxa"/>
          </w:tcPr>
          <w:p>
            <w:pPr>
              <w:pStyle w:val="TableParagraph"/>
              <w:spacing w:line="261" w:lineRule="exact" w:before="12"/>
              <w:ind w:right="-15"/>
              <w:jc w:val="right"/>
              <w:rPr>
                <w:sz w:val="22"/>
              </w:rPr>
            </w:pPr>
            <w:r>
              <w:rPr>
                <w:sz w:val="22"/>
              </w:rPr>
              <w:t>3.000,00</w:t>
            </w:r>
            <w:r>
              <w:rPr>
                <w:spacing w:val="-8"/>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0"/>
                <w:sz w:val="22"/>
              </w:rPr>
              <w:t>CAPÍTULO</w:t>
            </w:r>
            <w:r>
              <w:rPr>
                <w:b/>
                <w:color w:val="BF0000"/>
                <w:spacing w:val="15"/>
                <w:sz w:val="22"/>
              </w:rPr>
              <w:t> </w:t>
            </w:r>
            <w:r>
              <w:rPr>
                <w:b/>
                <w:color w:val="BF0000"/>
                <w:w w:val="80"/>
                <w:sz w:val="22"/>
              </w:rPr>
              <w:t>IX.-</w:t>
            </w:r>
            <w:r>
              <w:rPr>
                <w:b/>
                <w:color w:val="BF0000"/>
                <w:spacing w:val="16"/>
                <w:sz w:val="22"/>
              </w:rPr>
              <w:t> </w:t>
            </w:r>
            <w:r>
              <w:rPr>
                <w:b/>
                <w:color w:val="BF0000"/>
                <w:w w:val="80"/>
                <w:sz w:val="22"/>
              </w:rPr>
              <w:t>PREMIOS</w:t>
            </w:r>
            <w:r>
              <w:rPr>
                <w:b/>
                <w:color w:val="BF0000"/>
                <w:spacing w:val="16"/>
                <w:sz w:val="22"/>
              </w:rPr>
              <w:t> </w:t>
            </w:r>
            <w:r>
              <w:rPr>
                <w:b/>
                <w:color w:val="BF0000"/>
                <w:w w:val="80"/>
                <w:sz w:val="22"/>
              </w:rPr>
              <w:t>Y</w:t>
            </w:r>
            <w:r>
              <w:rPr>
                <w:b/>
                <w:color w:val="BF0000"/>
                <w:spacing w:val="15"/>
                <w:sz w:val="22"/>
              </w:rPr>
              <w:t> </w:t>
            </w:r>
            <w:r>
              <w:rPr>
                <w:b/>
                <w:color w:val="BF0000"/>
                <w:spacing w:val="-2"/>
                <w:w w:val="80"/>
                <w:sz w:val="22"/>
              </w:rPr>
              <w:t>HONORES</w:t>
            </w:r>
          </w:p>
        </w:tc>
        <w:tc>
          <w:tcPr>
            <w:tcW w:w="2009" w:type="dxa"/>
            <w:shd w:val="clear" w:color="auto" w:fill="D8D8D8"/>
          </w:tcPr>
          <w:p>
            <w:pPr>
              <w:pStyle w:val="TableParagraph"/>
              <w:rPr>
                <w:rFonts w:ascii="Times New Roman"/>
                <w:sz w:val="20"/>
              </w:rPr>
            </w:pPr>
          </w:p>
        </w:tc>
      </w:tr>
      <w:tr>
        <w:trPr>
          <w:trHeight w:val="286" w:hRule="atLeast"/>
        </w:trPr>
        <w:tc>
          <w:tcPr>
            <w:tcW w:w="6921" w:type="dxa"/>
          </w:tcPr>
          <w:p>
            <w:pPr>
              <w:pStyle w:val="TableParagraph"/>
              <w:spacing w:line="256" w:lineRule="exact" w:before="11"/>
              <w:ind w:left="78"/>
              <w:rPr>
                <w:sz w:val="22"/>
              </w:rPr>
            </w:pPr>
            <w:r>
              <w:rPr>
                <w:spacing w:val="-6"/>
                <w:sz w:val="22"/>
              </w:rPr>
              <w:t>Premio</w:t>
            </w:r>
            <w:r>
              <w:rPr>
                <w:spacing w:val="-4"/>
                <w:sz w:val="22"/>
              </w:rPr>
              <w:t> </w:t>
            </w:r>
            <w:r>
              <w:rPr>
                <w:spacing w:val="-6"/>
                <w:sz w:val="22"/>
              </w:rPr>
              <w:t>Excelencia</w:t>
            </w:r>
            <w:r>
              <w:rPr>
                <w:spacing w:val="-5"/>
                <w:sz w:val="22"/>
              </w:rPr>
              <w:t> </w:t>
            </w:r>
            <w:r>
              <w:rPr>
                <w:spacing w:val="-6"/>
                <w:sz w:val="22"/>
              </w:rPr>
              <w:t>Química</w:t>
            </w:r>
          </w:p>
        </w:tc>
        <w:tc>
          <w:tcPr>
            <w:tcW w:w="2009" w:type="dxa"/>
          </w:tcPr>
          <w:p>
            <w:pPr>
              <w:pStyle w:val="TableParagraph"/>
              <w:spacing w:line="256" w:lineRule="exact" w:before="11"/>
              <w:ind w:right="-15"/>
              <w:jc w:val="right"/>
              <w:rPr>
                <w:sz w:val="22"/>
              </w:rPr>
            </w:pPr>
            <w:r>
              <w:rPr>
                <w:sz w:val="22"/>
              </w:rPr>
              <w:t>150,00</w:t>
            </w:r>
            <w:r>
              <w:rPr>
                <w:spacing w:val="-6"/>
                <w:sz w:val="22"/>
              </w:rPr>
              <w:t> </w:t>
            </w:r>
            <w:r>
              <w:rPr>
                <w:spacing w:val="-10"/>
                <w:sz w:val="22"/>
              </w:rPr>
              <w:t>€</w:t>
            </w:r>
          </w:p>
        </w:tc>
      </w:tr>
      <w:tr>
        <w:trPr>
          <w:trHeight w:val="285" w:hRule="atLeast"/>
        </w:trPr>
        <w:tc>
          <w:tcPr>
            <w:tcW w:w="6921" w:type="dxa"/>
          </w:tcPr>
          <w:p>
            <w:pPr>
              <w:pStyle w:val="TableParagraph"/>
              <w:spacing w:line="258" w:lineRule="exact" w:before="7"/>
              <w:ind w:left="78"/>
              <w:rPr>
                <w:sz w:val="22"/>
              </w:rPr>
            </w:pPr>
            <w:r>
              <w:rPr>
                <w:spacing w:val="-2"/>
                <w:sz w:val="22"/>
              </w:rPr>
              <w:t>Colegiado</w:t>
            </w:r>
            <w:r>
              <w:rPr>
                <w:spacing w:val="-5"/>
                <w:sz w:val="22"/>
              </w:rPr>
              <w:t> </w:t>
            </w:r>
            <w:r>
              <w:rPr>
                <w:spacing w:val="-2"/>
                <w:sz w:val="22"/>
              </w:rPr>
              <w:t>de</w:t>
            </w:r>
            <w:r>
              <w:rPr>
                <w:spacing w:val="-7"/>
                <w:sz w:val="22"/>
              </w:rPr>
              <w:t> </w:t>
            </w:r>
            <w:r>
              <w:rPr>
                <w:spacing w:val="-2"/>
                <w:sz w:val="22"/>
              </w:rPr>
              <w:t>Honor</w:t>
            </w:r>
          </w:p>
        </w:tc>
        <w:tc>
          <w:tcPr>
            <w:tcW w:w="2009" w:type="dxa"/>
          </w:tcPr>
          <w:p>
            <w:pPr>
              <w:pStyle w:val="TableParagraph"/>
              <w:spacing w:line="258" w:lineRule="exact" w:before="7"/>
              <w:ind w:right="-15"/>
              <w:jc w:val="right"/>
              <w:rPr>
                <w:sz w:val="22"/>
              </w:rPr>
            </w:pPr>
            <w:r>
              <w:rPr>
                <w:sz w:val="22"/>
              </w:rPr>
              <w:t>100,00</w:t>
            </w:r>
            <w:r>
              <w:rPr>
                <w:spacing w:val="-6"/>
                <w:sz w:val="22"/>
              </w:rPr>
              <w:t> </w:t>
            </w:r>
            <w:r>
              <w:rPr>
                <w:spacing w:val="-10"/>
                <w:sz w:val="22"/>
              </w:rPr>
              <w:t>€</w:t>
            </w:r>
          </w:p>
        </w:tc>
      </w:tr>
      <w:tr>
        <w:trPr>
          <w:trHeight w:val="296" w:hRule="atLeast"/>
        </w:trPr>
        <w:tc>
          <w:tcPr>
            <w:tcW w:w="6921" w:type="dxa"/>
          </w:tcPr>
          <w:p>
            <w:pPr>
              <w:pStyle w:val="TableParagraph"/>
              <w:spacing w:line="266" w:lineRule="exact" w:before="10"/>
              <w:ind w:left="78"/>
              <w:rPr>
                <w:sz w:val="22"/>
              </w:rPr>
            </w:pPr>
            <w:r>
              <w:rPr>
                <w:sz w:val="22"/>
              </w:rPr>
              <w:t>Otras</w:t>
            </w:r>
            <w:r>
              <w:rPr>
                <w:spacing w:val="-11"/>
                <w:sz w:val="22"/>
              </w:rPr>
              <w:t> </w:t>
            </w:r>
            <w:r>
              <w:rPr>
                <w:spacing w:val="-2"/>
                <w:sz w:val="22"/>
              </w:rPr>
              <w:t>distinciones</w:t>
            </w:r>
          </w:p>
        </w:tc>
        <w:tc>
          <w:tcPr>
            <w:tcW w:w="2009" w:type="dxa"/>
          </w:tcPr>
          <w:p>
            <w:pPr>
              <w:pStyle w:val="TableParagraph"/>
              <w:spacing w:line="266" w:lineRule="exact" w:before="10"/>
              <w:ind w:right="-15"/>
              <w:jc w:val="right"/>
              <w:rPr>
                <w:sz w:val="22"/>
              </w:rPr>
            </w:pPr>
            <w:r>
              <w:rPr>
                <w:sz w:val="22"/>
              </w:rPr>
              <w:t>100,00</w:t>
            </w:r>
            <w:r>
              <w:rPr>
                <w:spacing w:val="-6"/>
                <w:sz w:val="22"/>
              </w:rPr>
              <w:t> </w:t>
            </w:r>
            <w:r>
              <w:rPr>
                <w:spacing w:val="-10"/>
                <w:sz w:val="22"/>
              </w:rPr>
              <w:t>€</w:t>
            </w:r>
          </w:p>
        </w:tc>
      </w:tr>
      <w:tr>
        <w:trPr>
          <w:trHeight w:val="292" w:hRule="atLeast"/>
        </w:trPr>
        <w:tc>
          <w:tcPr>
            <w:tcW w:w="6921" w:type="dxa"/>
            <w:shd w:val="clear" w:color="auto" w:fill="D8D8D8"/>
          </w:tcPr>
          <w:p>
            <w:pPr>
              <w:pStyle w:val="TableParagraph"/>
              <w:spacing w:line="261" w:lineRule="exact" w:before="11"/>
              <w:ind w:left="78"/>
              <w:rPr>
                <w:b/>
                <w:sz w:val="22"/>
              </w:rPr>
            </w:pPr>
            <w:r>
              <w:rPr>
                <w:b/>
                <w:color w:val="BF0000"/>
                <w:w w:val="85"/>
                <w:sz w:val="22"/>
              </w:rPr>
              <w:t>CAPÍTULO</w:t>
            </w:r>
            <w:r>
              <w:rPr>
                <w:b/>
                <w:color w:val="BF0000"/>
                <w:spacing w:val="10"/>
                <w:sz w:val="22"/>
              </w:rPr>
              <w:t> </w:t>
            </w:r>
            <w:r>
              <w:rPr>
                <w:b/>
                <w:color w:val="BF0000"/>
                <w:w w:val="85"/>
                <w:sz w:val="22"/>
              </w:rPr>
              <w:t>X.-</w:t>
            </w:r>
            <w:r>
              <w:rPr>
                <w:b/>
                <w:color w:val="BF0000"/>
                <w:spacing w:val="10"/>
                <w:sz w:val="22"/>
              </w:rPr>
              <w:t> </w:t>
            </w:r>
            <w:r>
              <w:rPr>
                <w:b/>
                <w:color w:val="BF0000"/>
                <w:spacing w:val="-2"/>
                <w:w w:val="85"/>
                <w:sz w:val="22"/>
              </w:rPr>
              <w:t>PUBLICIDAD</w:t>
            </w:r>
          </w:p>
        </w:tc>
        <w:tc>
          <w:tcPr>
            <w:tcW w:w="2009" w:type="dxa"/>
            <w:shd w:val="clear" w:color="auto" w:fill="D8D8D8"/>
          </w:tcPr>
          <w:p>
            <w:pPr>
              <w:pStyle w:val="TableParagraph"/>
              <w:rPr>
                <w:rFonts w:ascii="Times New Roman"/>
                <w:sz w:val="20"/>
              </w:rPr>
            </w:pPr>
          </w:p>
        </w:tc>
      </w:tr>
      <w:tr>
        <w:trPr>
          <w:trHeight w:val="287" w:hRule="atLeast"/>
        </w:trPr>
        <w:tc>
          <w:tcPr>
            <w:tcW w:w="6921" w:type="dxa"/>
          </w:tcPr>
          <w:p>
            <w:pPr>
              <w:pStyle w:val="TableParagraph"/>
              <w:spacing w:line="261" w:lineRule="exact" w:before="6"/>
              <w:ind w:left="78"/>
              <w:rPr>
                <w:sz w:val="22"/>
              </w:rPr>
            </w:pPr>
            <w:r>
              <w:rPr>
                <w:spacing w:val="-8"/>
                <w:sz w:val="22"/>
              </w:rPr>
              <w:t>Publicidad</w:t>
            </w:r>
            <w:r>
              <w:rPr>
                <w:spacing w:val="-1"/>
                <w:sz w:val="22"/>
              </w:rPr>
              <w:t> </w:t>
            </w:r>
            <w:r>
              <w:rPr>
                <w:spacing w:val="-8"/>
                <w:sz w:val="22"/>
              </w:rPr>
              <w:t>(medios,</w:t>
            </w:r>
            <w:r>
              <w:rPr>
                <w:spacing w:val="3"/>
                <w:sz w:val="22"/>
              </w:rPr>
              <w:t> </w:t>
            </w:r>
            <w:r>
              <w:rPr>
                <w:spacing w:val="-8"/>
                <w:sz w:val="22"/>
              </w:rPr>
              <w:t>merchandising,</w:t>
            </w:r>
            <w:r>
              <w:rPr>
                <w:spacing w:val="2"/>
                <w:sz w:val="22"/>
              </w:rPr>
              <w:t> </w:t>
            </w:r>
            <w:r>
              <w:rPr>
                <w:spacing w:val="-8"/>
                <w:sz w:val="22"/>
              </w:rPr>
              <w:t>…)</w:t>
            </w:r>
          </w:p>
        </w:tc>
        <w:tc>
          <w:tcPr>
            <w:tcW w:w="2009" w:type="dxa"/>
          </w:tcPr>
          <w:p>
            <w:pPr>
              <w:pStyle w:val="TableParagraph"/>
              <w:spacing w:line="261" w:lineRule="exact" w:before="6"/>
              <w:ind w:right="-15"/>
              <w:jc w:val="right"/>
              <w:rPr>
                <w:sz w:val="22"/>
              </w:rPr>
            </w:pPr>
            <w:r>
              <w:rPr>
                <w:sz w:val="22"/>
              </w:rPr>
              <w:t>1.200,00</w:t>
            </w:r>
            <w:r>
              <w:rPr>
                <w:spacing w:val="-8"/>
                <w:sz w:val="22"/>
              </w:rPr>
              <w:t> </w:t>
            </w:r>
            <w:r>
              <w:rPr>
                <w:spacing w:val="-10"/>
                <w:sz w:val="22"/>
              </w:rPr>
              <w:t>€</w:t>
            </w:r>
          </w:p>
        </w:tc>
      </w:tr>
      <w:tr>
        <w:trPr>
          <w:trHeight w:val="288" w:hRule="atLeast"/>
        </w:trPr>
        <w:tc>
          <w:tcPr>
            <w:tcW w:w="6921" w:type="dxa"/>
            <w:shd w:val="clear" w:color="auto" w:fill="D8D8D8"/>
          </w:tcPr>
          <w:p>
            <w:pPr>
              <w:pStyle w:val="TableParagraph"/>
              <w:spacing w:line="257" w:lineRule="exact" w:before="11"/>
              <w:ind w:left="78"/>
              <w:rPr>
                <w:b/>
                <w:sz w:val="22"/>
              </w:rPr>
            </w:pPr>
            <w:r>
              <w:rPr>
                <w:b/>
                <w:color w:val="BF0000"/>
                <w:w w:val="80"/>
                <w:sz w:val="22"/>
              </w:rPr>
              <w:t>CAPÍTULO</w:t>
            </w:r>
            <w:r>
              <w:rPr>
                <w:b/>
                <w:color w:val="BF0000"/>
                <w:spacing w:val="24"/>
                <w:sz w:val="22"/>
              </w:rPr>
              <w:t> </w:t>
            </w:r>
            <w:r>
              <w:rPr>
                <w:b/>
                <w:color w:val="BF0000"/>
                <w:w w:val="80"/>
                <w:sz w:val="22"/>
              </w:rPr>
              <w:t>XI.-</w:t>
            </w:r>
            <w:r>
              <w:rPr>
                <w:b/>
                <w:color w:val="BF0000"/>
                <w:spacing w:val="23"/>
                <w:sz w:val="22"/>
              </w:rPr>
              <w:t> </w:t>
            </w:r>
            <w:r>
              <w:rPr>
                <w:b/>
                <w:color w:val="BF0000"/>
                <w:w w:val="80"/>
                <w:sz w:val="22"/>
              </w:rPr>
              <w:t>ADMINISTRACIÓN</w:t>
            </w:r>
            <w:r>
              <w:rPr>
                <w:b/>
                <w:color w:val="BF0000"/>
                <w:spacing w:val="25"/>
                <w:sz w:val="22"/>
              </w:rPr>
              <w:t> </w:t>
            </w:r>
            <w:r>
              <w:rPr>
                <w:b/>
                <w:color w:val="BF0000"/>
                <w:w w:val="80"/>
                <w:sz w:val="22"/>
              </w:rPr>
              <w:t>Y</w:t>
            </w:r>
            <w:r>
              <w:rPr>
                <w:b/>
                <w:color w:val="BF0000"/>
                <w:spacing w:val="27"/>
                <w:sz w:val="22"/>
              </w:rPr>
              <w:t> </w:t>
            </w:r>
            <w:r>
              <w:rPr>
                <w:b/>
                <w:color w:val="BF0000"/>
                <w:w w:val="80"/>
                <w:sz w:val="22"/>
              </w:rPr>
              <w:t>SERVICIOS</w:t>
            </w:r>
            <w:r>
              <w:rPr>
                <w:b/>
                <w:color w:val="BF0000"/>
                <w:spacing w:val="23"/>
                <w:sz w:val="22"/>
              </w:rPr>
              <w:t> </w:t>
            </w:r>
            <w:r>
              <w:rPr>
                <w:b/>
                <w:color w:val="BF0000"/>
                <w:spacing w:val="-2"/>
                <w:w w:val="80"/>
                <w:sz w:val="22"/>
              </w:rPr>
              <w:t>GENERALES</w:t>
            </w:r>
          </w:p>
        </w:tc>
        <w:tc>
          <w:tcPr>
            <w:tcW w:w="2009" w:type="dxa"/>
            <w:shd w:val="clear" w:color="auto" w:fill="D8D8D8"/>
          </w:tcPr>
          <w:p>
            <w:pPr>
              <w:pStyle w:val="TableParagraph"/>
              <w:rPr>
                <w:rFonts w:ascii="Times New Roman"/>
                <w:sz w:val="20"/>
              </w:rPr>
            </w:pPr>
          </w:p>
        </w:tc>
      </w:tr>
      <w:tr>
        <w:trPr>
          <w:trHeight w:val="282" w:hRule="atLeast"/>
        </w:trPr>
        <w:tc>
          <w:tcPr>
            <w:tcW w:w="6921" w:type="dxa"/>
            <w:tcBorders>
              <w:bottom w:val="single" w:sz="18" w:space="0" w:color="000000"/>
            </w:tcBorders>
          </w:tcPr>
          <w:p>
            <w:pPr>
              <w:pStyle w:val="TableParagraph"/>
              <w:spacing w:line="256" w:lineRule="exact" w:before="6"/>
              <w:ind w:left="78"/>
              <w:rPr>
                <w:sz w:val="22"/>
              </w:rPr>
            </w:pPr>
            <w:r>
              <w:rPr>
                <w:spacing w:val="-2"/>
                <w:sz w:val="22"/>
              </w:rPr>
              <w:t>Contrato</w:t>
            </w:r>
            <w:r>
              <w:rPr>
                <w:spacing w:val="1"/>
                <w:sz w:val="22"/>
              </w:rPr>
              <w:t> </w:t>
            </w:r>
            <w:r>
              <w:rPr>
                <w:spacing w:val="-2"/>
                <w:sz w:val="22"/>
              </w:rPr>
              <w:t>auxiliar</w:t>
            </w:r>
            <w:r>
              <w:rPr>
                <w:spacing w:val="1"/>
                <w:sz w:val="22"/>
              </w:rPr>
              <w:t> </w:t>
            </w:r>
            <w:r>
              <w:rPr>
                <w:spacing w:val="-2"/>
                <w:sz w:val="22"/>
              </w:rPr>
              <w:t>administrativo</w:t>
            </w:r>
          </w:p>
        </w:tc>
        <w:tc>
          <w:tcPr>
            <w:tcW w:w="2009" w:type="dxa"/>
            <w:tcBorders>
              <w:bottom w:val="single" w:sz="18" w:space="0" w:color="000000"/>
            </w:tcBorders>
          </w:tcPr>
          <w:p>
            <w:pPr>
              <w:pStyle w:val="TableParagraph"/>
              <w:spacing w:line="256" w:lineRule="exact" w:before="6"/>
              <w:ind w:right="-15"/>
              <w:jc w:val="right"/>
              <w:rPr>
                <w:sz w:val="22"/>
              </w:rPr>
            </w:pPr>
            <w:r>
              <w:rPr>
                <w:sz w:val="22"/>
              </w:rPr>
              <w:t>4.500,00</w:t>
            </w:r>
            <w:r>
              <w:rPr>
                <w:spacing w:val="-8"/>
                <w:sz w:val="22"/>
              </w:rPr>
              <w:t> </w:t>
            </w:r>
            <w:r>
              <w:rPr>
                <w:spacing w:val="-10"/>
                <w:sz w:val="22"/>
              </w:rPr>
              <w:t>€</w:t>
            </w:r>
          </w:p>
        </w:tc>
      </w:tr>
      <w:tr>
        <w:trPr>
          <w:trHeight w:val="257" w:hRule="atLeast"/>
        </w:trPr>
        <w:tc>
          <w:tcPr>
            <w:tcW w:w="6921" w:type="dxa"/>
            <w:tcBorders>
              <w:top w:val="single" w:sz="18" w:space="0" w:color="000000"/>
              <w:left w:val="single" w:sz="18" w:space="0" w:color="000000"/>
              <w:bottom w:val="single" w:sz="18" w:space="0" w:color="000000"/>
            </w:tcBorders>
          </w:tcPr>
          <w:p>
            <w:pPr>
              <w:pStyle w:val="TableParagraph"/>
              <w:spacing w:line="237" w:lineRule="exact"/>
              <w:ind w:left="56"/>
              <w:rPr>
                <w:b/>
                <w:sz w:val="22"/>
              </w:rPr>
            </w:pPr>
            <w:r>
              <w:rPr>
                <w:b/>
                <w:color w:val="BF0000"/>
                <w:w w:val="85"/>
                <w:sz w:val="22"/>
              </w:rPr>
              <w:t>TOTAL,</w:t>
            </w:r>
            <w:r>
              <w:rPr>
                <w:b/>
                <w:color w:val="BF0000"/>
                <w:spacing w:val="19"/>
                <w:sz w:val="22"/>
              </w:rPr>
              <w:t> </w:t>
            </w:r>
            <w:r>
              <w:rPr>
                <w:b/>
                <w:color w:val="BF0000"/>
                <w:spacing w:val="-2"/>
                <w:sz w:val="22"/>
              </w:rPr>
              <w:t>GASTOS</w:t>
            </w:r>
          </w:p>
        </w:tc>
        <w:tc>
          <w:tcPr>
            <w:tcW w:w="2009" w:type="dxa"/>
            <w:tcBorders>
              <w:top w:val="single" w:sz="18" w:space="0" w:color="000000"/>
              <w:bottom w:val="single" w:sz="18" w:space="0" w:color="000000"/>
            </w:tcBorders>
          </w:tcPr>
          <w:p>
            <w:pPr>
              <w:pStyle w:val="TableParagraph"/>
              <w:spacing w:line="237" w:lineRule="exact"/>
              <w:ind w:right="-15"/>
              <w:jc w:val="right"/>
              <w:rPr>
                <w:b/>
                <w:sz w:val="22"/>
              </w:rPr>
            </w:pPr>
            <w:r>
              <w:rPr>
                <w:b/>
                <w:sz w:val="22"/>
              </w:rPr>
              <w:t>22.492,00</w:t>
            </w:r>
            <w:r>
              <w:rPr>
                <w:b/>
                <w:spacing w:val="-9"/>
                <w:sz w:val="22"/>
              </w:rPr>
              <w:t> </w:t>
            </w:r>
            <w:r>
              <w:rPr>
                <w:b/>
                <w:spacing w:val="-10"/>
                <w:sz w:val="22"/>
              </w:rPr>
              <w:t>€</w:t>
            </w:r>
          </w:p>
        </w:tc>
      </w:tr>
    </w:tbl>
    <w:p>
      <w:pPr>
        <w:pStyle w:val="TableParagraph"/>
        <w:spacing w:after="0" w:line="237" w:lineRule="exact"/>
        <w:jc w:val="right"/>
        <w:rPr>
          <w:b/>
          <w:sz w:val="22"/>
        </w:rPr>
        <w:sectPr>
          <w:pgSz w:w="11900" w:h="16840"/>
          <w:pgMar w:header="0" w:footer="516" w:top="740" w:bottom="700" w:left="1559" w:right="1133"/>
        </w:sectPr>
      </w:pPr>
    </w:p>
    <w:p>
      <w:pPr>
        <w:pStyle w:val="Heading2"/>
        <w:spacing w:before="85"/>
        <w:ind w:left="381"/>
      </w:pPr>
      <w:bookmarkStart w:name="_TOC_250000" w:id="19"/>
      <w:r>
        <w:rPr/>
        <w:t>PARTIDA</w:t>
      </w:r>
      <w:r>
        <w:rPr>
          <w:spacing w:val="-7"/>
        </w:rPr>
        <w:t> </w:t>
      </w:r>
      <w:r>
        <w:rPr/>
        <w:t>DE</w:t>
      </w:r>
      <w:r>
        <w:rPr>
          <w:spacing w:val="-13"/>
        </w:rPr>
        <w:t> </w:t>
      </w:r>
      <w:bookmarkEnd w:id="19"/>
      <w:r>
        <w:rPr>
          <w:spacing w:val="-2"/>
        </w:rPr>
        <w:t>INGRESOS</w:t>
      </w:r>
    </w:p>
    <w:p>
      <w:pPr>
        <w:pStyle w:val="BodyText"/>
        <w:rPr>
          <w:b/>
          <w:sz w:val="20"/>
        </w:rPr>
      </w:pPr>
    </w:p>
    <w:p>
      <w:pPr>
        <w:pStyle w:val="BodyText"/>
        <w:spacing w:before="116" w:after="1"/>
        <w:rPr>
          <w:b/>
          <w:sz w:val="20"/>
        </w:rPr>
      </w:pPr>
    </w:p>
    <w:tbl>
      <w:tblPr>
        <w:tblW w:w="0" w:type="auto"/>
        <w:jc w:val="left"/>
        <w:tblInd w:w="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85"/>
        <w:gridCol w:w="1563"/>
      </w:tblGrid>
      <w:tr>
        <w:trPr>
          <w:trHeight w:val="272" w:hRule="atLeast"/>
        </w:trPr>
        <w:tc>
          <w:tcPr>
            <w:tcW w:w="3985" w:type="dxa"/>
            <w:tcBorders>
              <w:top w:val="single" w:sz="8" w:space="0" w:color="000000"/>
              <w:bottom w:val="single" w:sz="18" w:space="0" w:color="000000"/>
            </w:tcBorders>
          </w:tcPr>
          <w:p>
            <w:pPr>
              <w:pStyle w:val="TableParagraph"/>
              <w:spacing w:line="252" w:lineRule="exact"/>
              <w:ind w:left="37"/>
              <w:rPr>
                <w:rFonts w:ascii="Arial"/>
                <w:b/>
                <w:sz w:val="22"/>
              </w:rPr>
            </w:pPr>
            <w:r>
              <w:rPr>
                <w:rFonts w:ascii="Arial"/>
                <w:b/>
                <w:color w:val="BF0000"/>
                <w:w w:val="80"/>
                <w:sz w:val="22"/>
              </w:rPr>
              <w:t>INGRESOS</w:t>
            </w:r>
            <w:r>
              <w:rPr>
                <w:rFonts w:ascii="Arial"/>
                <w:b/>
                <w:color w:val="BF0000"/>
                <w:spacing w:val="27"/>
                <w:sz w:val="22"/>
              </w:rPr>
              <w:t> </w:t>
            </w:r>
            <w:r>
              <w:rPr>
                <w:rFonts w:ascii="Arial"/>
                <w:b/>
                <w:color w:val="BF0000"/>
                <w:w w:val="80"/>
                <w:sz w:val="22"/>
              </w:rPr>
              <w:t>Y</w:t>
            </w:r>
            <w:r>
              <w:rPr>
                <w:rFonts w:ascii="Arial"/>
                <w:b/>
                <w:color w:val="BF0000"/>
                <w:spacing w:val="31"/>
                <w:sz w:val="22"/>
              </w:rPr>
              <w:t> </w:t>
            </w:r>
            <w:r>
              <w:rPr>
                <w:rFonts w:ascii="Arial"/>
                <w:b/>
                <w:color w:val="BF0000"/>
                <w:w w:val="80"/>
                <w:sz w:val="22"/>
              </w:rPr>
              <w:t>GASTOS</w:t>
            </w:r>
            <w:r>
              <w:rPr>
                <w:rFonts w:ascii="Arial"/>
                <w:b/>
                <w:color w:val="BF0000"/>
                <w:spacing w:val="31"/>
                <w:sz w:val="22"/>
              </w:rPr>
              <w:t> </w:t>
            </w:r>
            <w:r>
              <w:rPr>
                <w:rFonts w:ascii="Arial"/>
                <w:b/>
                <w:color w:val="BF0000"/>
                <w:w w:val="80"/>
                <w:sz w:val="22"/>
              </w:rPr>
              <w:t>PREVISTOS</w:t>
            </w:r>
            <w:r>
              <w:rPr>
                <w:rFonts w:ascii="Arial"/>
                <w:b/>
                <w:color w:val="BF0000"/>
                <w:spacing w:val="30"/>
                <w:sz w:val="22"/>
              </w:rPr>
              <w:t> </w:t>
            </w:r>
            <w:r>
              <w:rPr>
                <w:rFonts w:ascii="Arial"/>
                <w:b/>
                <w:color w:val="BF0000"/>
                <w:spacing w:val="-4"/>
                <w:w w:val="80"/>
                <w:sz w:val="22"/>
              </w:rPr>
              <w:t>2026</w:t>
            </w:r>
          </w:p>
        </w:tc>
        <w:tc>
          <w:tcPr>
            <w:tcW w:w="1563" w:type="dxa"/>
            <w:tcBorders>
              <w:top w:val="single" w:sz="8" w:space="0" w:color="000000"/>
              <w:bottom w:val="single" w:sz="18" w:space="0" w:color="000000"/>
            </w:tcBorders>
          </w:tcPr>
          <w:p>
            <w:pPr>
              <w:pStyle w:val="TableParagraph"/>
              <w:rPr>
                <w:rFonts w:ascii="Times New Roman"/>
                <w:sz w:val="20"/>
              </w:rPr>
            </w:pPr>
          </w:p>
        </w:tc>
      </w:tr>
      <w:tr>
        <w:trPr>
          <w:trHeight w:val="257" w:hRule="atLeast"/>
        </w:trPr>
        <w:tc>
          <w:tcPr>
            <w:tcW w:w="3985" w:type="dxa"/>
            <w:tcBorders>
              <w:top w:val="single" w:sz="18" w:space="0" w:color="000000"/>
              <w:bottom w:val="single" w:sz="8" w:space="0" w:color="000000"/>
            </w:tcBorders>
          </w:tcPr>
          <w:p>
            <w:pPr>
              <w:pStyle w:val="TableParagraph"/>
              <w:rPr>
                <w:rFonts w:ascii="Times New Roman"/>
                <w:sz w:val="18"/>
              </w:rPr>
            </w:pPr>
          </w:p>
        </w:tc>
        <w:tc>
          <w:tcPr>
            <w:tcW w:w="1563" w:type="dxa"/>
            <w:tcBorders>
              <w:top w:val="single" w:sz="18" w:space="0" w:color="000000"/>
              <w:bottom w:val="single" w:sz="8" w:space="0" w:color="000000"/>
            </w:tcBorders>
          </w:tcPr>
          <w:p>
            <w:pPr>
              <w:pStyle w:val="TableParagraph"/>
              <w:rPr>
                <w:rFonts w:ascii="Times New Roman"/>
                <w:sz w:val="18"/>
              </w:rPr>
            </w:pPr>
          </w:p>
        </w:tc>
      </w:tr>
      <w:tr>
        <w:trPr>
          <w:trHeight w:val="272" w:hRule="atLeast"/>
        </w:trPr>
        <w:tc>
          <w:tcPr>
            <w:tcW w:w="3985" w:type="dxa"/>
            <w:tcBorders>
              <w:top w:val="single" w:sz="8" w:space="0" w:color="000000"/>
              <w:bottom w:val="single" w:sz="18" w:space="0" w:color="000000"/>
            </w:tcBorders>
          </w:tcPr>
          <w:p>
            <w:pPr>
              <w:pStyle w:val="TableParagraph"/>
              <w:spacing w:line="248" w:lineRule="exact"/>
              <w:ind w:left="37"/>
              <w:rPr>
                <w:rFonts w:ascii="Arial"/>
                <w:b/>
                <w:sz w:val="22"/>
              </w:rPr>
            </w:pPr>
            <w:r>
              <w:rPr>
                <w:rFonts w:ascii="Arial"/>
                <w:b/>
                <w:color w:val="BF0000"/>
                <w:spacing w:val="-2"/>
                <w:w w:val="95"/>
                <w:sz w:val="22"/>
              </w:rPr>
              <w:t>INGRESOS</w:t>
            </w:r>
          </w:p>
        </w:tc>
        <w:tc>
          <w:tcPr>
            <w:tcW w:w="1563" w:type="dxa"/>
            <w:tcBorders>
              <w:top w:val="single" w:sz="8" w:space="0" w:color="000000"/>
              <w:bottom w:val="single" w:sz="18" w:space="0" w:color="000000"/>
            </w:tcBorders>
          </w:tcPr>
          <w:p>
            <w:pPr>
              <w:pStyle w:val="TableParagraph"/>
              <w:rPr>
                <w:rFonts w:ascii="Times New Roman"/>
                <w:sz w:val="20"/>
              </w:rPr>
            </w:pPr>
          </w:p>
        </w:tc>
      </w:tr>
      <w:tr>
        <w:trPr>
          <w:trHeight w:val="263" w:hRule="atLeast"/>
        </w:trPr>
        <w:tc>
          <w:tcPr>
            <w:tcW w:w="3985" w:type="dxa"/>
            <w:tcBorders>
              <w:top w:val="single" w:sz="18" w:space="0" w:color="000000"/>
            </w:tcBorders>
          </w:tcPr>
          <w:p>
            <w:pPr>
              <w:pStyle w:val="TableParagraph"/>
              <w:spacing w:line="243" w:lineRule="exact"/>
              <w:ind w:left="37"/>
              <w:rPr>
                <w:rFonts w:ascii="Arial"/>
                <w:sz w:val="22"/>
              </w:rPr>
            </w:pPr>
            <w:r>
              <w:rPr>
                <w:rFonts w:ascii="Arial"/>
                <w:spacing w:val="-2"/>
                <w:sz w:val="22"/>
              </w:rPr>
              <w:t>Cuotas</w:t>
            </w:r>
            <w:r>
              <w:rPr>
                <w:rFonts w:ascii="Arial"/>
                <w:spacing w:val="-12"/>
                <w:sz w:val="22"/>
              </w:rPr>
              <w:t> </w:t>
            </w:r>
            <w:r>
              <w:rPr>
                <w:rFonts w:ascii="Arial"/>
                <w:spacing w:val="-2"/>
                <w:sz w:val="22"/>
              </w:rPr>
              <w:t>colegiales</w:t>
            </w:r>
          </w:p>
        </w:tc>
        <w:tc>
          <w:tcPr>
            <w:tcW w:w="1563" w:type="dxa"/>
            <w:tcBorders>
              <w:top w:val="single" w:sz="18" w:space="0" w:color="000000"/>
            </w:tcBorders>
          </w:tcPr>
          <w:p>
            <w:pPr>
              <w:pStyle w:val="TableParagraph"/>
              <w:spacing w:line="243" w:lineRule="exact"/>
              <w:ind w:right="41"/>
              <w:jc w:val="right"/>
              <w:rPr>
                <w:rFonts w:ascii="Arial" w:hAnsi="Arial"/>
                <w:sz w:val="22"/>
              </w:rPr>
            </w:pPr>
            <w:r>
              <w:rPr>
                <w:rFonts w:ascii="Arial" w:hAnsi="Arial"/>
                <w:sz w:val="22"/>
              </w:rPr>
              <w:t>12.980,00</w:t>
            </w:r>
            <w:r>
              <w:rPr>
                <w:rFonts w:ascii="Arial" w:hAnsi="Arial"/>
                <w:spacing w:val="-9"/>
                <w:sz w:val="22"/>
              </w:rPr>
              <w:t> </w:t>
            </w:r>
            <w:r>
              <w:rPr>
                <w:rFonts w:ascii="Arial" w:hAnsi="Arial"/>
                <w:spacing w:val="-10"/>
                <w:sz w:val="22"/>
              </w:rPr>
              <w:t>€</w:t>
            </w:r>
          </w:p>
        </w:tc>
      </w:tr>
      <w:tr>
        <w:trPr>
          <w:trHeight w:val="287" w:hRule="atLeast"/>
        </w:trPr>
        <w:tc>
          <w:tcPr>
            <w:tcW w:w="3985" w:type="dxa"/>
          </w:tcPr>
          <w:p>
            <w:pPr>
              <w:pStyle w:val="TableParagraph"/>
              <w:spacing w:before="14"/>
              <w:ind w:left="37"/>
              <w:rPr>
                <w:rFonts w:ascii="Arial"/>
                <w:sz w:val="22"/>
              </w:rPr>
            </w:pPr>
            <w:r>
              <w:rPr>
                <w:rFonts w:ascii="Arial"/>
                <w:spacing w:val="-4"/>
                <w:sz w:val="22"/>
              </w:rPr>
              <w:t>Ingresos</w:t>
            </w:r>
            <w:r>
              <w:rPr>
                <w:rFonts w:ascii="Arial"/>
                <w:spacing w:val="-5"/>
                <w:sz w:val="22"/>
              </w:rPr>
              <w:t> </w:t>
            </w:r>
            <w:r>
              <w:rPr>
                <w:rFonts w:ascii="Arial"/>
                <w:spacing w:val="-4"/>
                <w:sz w:val="22"/>
              </w:rPr>
              <w:t>por</w:t>
            </w:r>
            <w:r>
              <w:rPr>
                <w:rFonts w:ascii="Arial"/>
                <w:spacing w:val="-3"/>
                <w:sz w:val="22"/>
              </w:rPr>
              <w:t> </w:t>
            </w:r>
            <w:r>
              <w:rPr>
                <w:rFonts w:ascii="Arial"/>
                <w:spacing w:val="-4"/>
                <w:sz w:val="22"/>
              </w:rPr>
              <w:t>actividades</w:t>
            </w:r>
          </w:p>
        </w:tc>
        <w:tc>
          <w:tcPr>
            <w:tcW w:w="1563" w:type="dxa"/>
          </w:tcPr>
          <w:p>
            <w:pPr>
              <w:pStyle w:val="TableParagraph"/>
              <w:spacing w:before="14"/>
              <w:ind w:left="412"/>
              <w:rPr>
                <w:rFonts w:ascii="Arial" w:hAnsi="Arial"/>
                <w:sz w:val="22"/>
              </w:rPr>
            </w:pPr>
            <w:r>
              <w:rPr>
                <w:rFonts w:ascii="Arial" w:hAnsi="Arial"/>
                <w:sz w:val="22"/>
              </w:rPr>
              <w:t>1.500,00</w:t>
            </w:r>
            <w:r>
              <w:rPr>
                <w:rFonts w:ascii="Arial" w:hAnsi="Arial"/>
                <w:spacing w:val="-8"/>
                <w:sz w:val="22"/>
              </w:rPr>
              <w:t> </w:t>
            </w:r>
            <w:r>
              <w:rPr>
                <w:rFonts w:ascii="Arial" w:hAnsi="Arial"/>
                <w:spacing w:val="-10"/>
                <w:sz w:val="22"/>
              </w:rPr>
              <w:t>€</w:t>
            </w:r>
          </w:p>
        </w:tc>
      </w:tr>
      <w:tr>
        <w:trPr>
          <w:trHeight w:val="290" w:hRule="atLeast"/>
        </w:trPr>
        <w:tc>
          <w:tcPr>
            <w:tcW w:w="3985" w:type="dxa"/>
          </w:tcPr>
          <w:p>
            <w:pPr>
              <w:pStyle w:val="TableParagraph"/>
              <w:spacing w:before="14"/>
              <w:ind w:left="37"/>
              <w:rPr>
                <w:rFonts w:ascii="Arial"/>
                <w:sz w:val="22"/>
              </w:rPr>
            </w:pPr>
            <w:r>
              <w:rPr>
                <w:rFonts w:ascii="Arial"/>
                <w:spacing w:val="-2"/>
                <w:sz w:val="22"/>
              </w:rPr>
              <w:t>Patrocinios</w:t>
            </w:r>
          </w:p>
        </w:tc>
        <w:tc>
          <w:tcPr>
            <w:tcW w:w="1563" w:type="dxa"/>
          </w:tcPr>
          <w:p>
            <w:pPr>
              <w:pStyle w:val="TableParagraph"/>
              <w:spacing w:before="14"/>
              <w:ind w:right="41"/>
              <w:jc w:val="right"/>
              <w:rPr>
                <w:rFonts w:ascii="Arial" w:hAnsi="Arial"/>
                <w:sz w:val="22"/>
              </w:rPr>
            </w:pPr>
            <w:r>
              <w:rPr>
                <w:rFonts w:ascii="Arial" w:hAnsi="Arial"/>
                <w:sz w:val="22"/>
              </w:rPr>
              <w:t>2.000,00</w:t>
            </w:r>
            <w:r>
              <w:rPr>
                <w:rFonts w:ascii="Arial" w:hAnsi="Arial"/>
                <w:spacing w:val="-8"/>
                <w:sz w:val="22"/>
              </w:rPr>
              <w:t> </w:t>
            </w:r>
            <w:r>
              <w:rPr>
                <w:rFonts w:ascii="Arial" w:hAnsi="Arial"/>
                <w:spacing w:val="-10"/>
                <w:sz w:val="22"/>
              </w:rPr>
              <w:t>€</w:t>
            </w:r>
          </w:p>
        </w:tc>
      </w:tr>
      <w:tr>
        <w:trPr>
          <w:trHeight w:val="288" w:hRule="atLeast"/>
        </w:trPr>
        <w:tc>
          <w:tcPr>
            <w:tcW w:w="3985" w:type="dxa"/>
          </w:tcPr>
          <w:p>
            <w:pPr>
              <w:pStyle w:val="TableParagraph"/>
              <w:spacing w:line="251" w:lineRule="exact" w:before="16"/>
              <w:ind w:left="37"/>
              <w:rPr>
                <w:rFonts w:ascii="Arial"/>
                <w:sz w:val="22"/>
              </w:rPr>
            </w:pPr>
            <w:r>
              <w:rPr>
                <w:rFonts w:ascii="Arial"/>
                <w:spacing w:val="-2"/>
                <w:sz w:val="22"/>
              </w:rPr>
              <w:t>Ayudas/Subvenciones/Prestaciones</w:t>
            </w:r>
          </w:p>
        </w:tc>
        <w:tc>
          <w:tcPr>
            <w:tcW w:w="1563" w:type="dxa"/>
          </w:tcPr>
          <w:p>
            <w:pPr>
              <w:pStyle w:val="TableParagraph"/>
              <w:spacing w:line="251" w:lineRule="exact" w:before="16"/>
              <w:ind w:right="41"/>
              <w:jc w:val="right"/>
              <w:rPr>
                <w:rFonts w:ascii="Arial" w:hAnsi="Arial"/>
                <w:sz w:val="22"/>
              </w:rPr>
            </w:pPr>
            <w:r>
              <w:rPr>
                <w:rFonts w:ascii="Arial" w:hAnsi="Arial"/>
                <w:sz w:val="22"/>
              </w:rPr>
              <w:t>6.000,00</w:t>
            </w:r>
            <w:r>
              <w:rPr>
                <w:rFonts w:ascii="Arial" w:hAnsi="Arial"/>
                <w:spacing w:val="-8"/>
                <w:sz w:val="22"/>
              </w:rPr>
              <w:t> </w:t>
            </w:r>
            <w:r>
              <w:rPr>
                <w:rFonts w:ascii="Arial" w:hAnsi="Arial"/>
                <w:spacing w:val="-10"/>
                <w:sz w:val="22"/>
              </w:rPr>
              <w:t>€</w:t>
            </w:r>
          </w:p>
        </w:tc>
      </w:tr>
      <w:tr>
        <w:trPr>
          <w:trHeight w:val="289" w:hRule="atLeast"/>
        </w:trPr>
        <w:tc>
          <w:tcPr>
            <w:tcW w:w="3985" w:type="dxa"/>
            <w:tcBorders>
              <w:bottom w:val="single" w:sz="8" w:space="0" w:color="000000"/>
            </w:tcBorders>
          </w:tcPr>
          <w:p>
            <w:pPr>
              <w:pStyle w:val="TableParagraph"/>
              <w:spacing w:before="11"/>
              <w:ind w:left="37"/>
              <w:rPr>
                <w:rFonts w:ascii="Arial"/>
                <w:sz w:val="22"/>
              </w:rPr>
            </w:pPr>
            <w:r>
              <w:rPr>
                <w:rFonts w:ascii="Arial"/>
                <w:spacing w:val="-2"/>
                <w:sz w:val="22"/>
              </w:rPr>
              <w:t>Visados</w:t>
            </w:r>
          </w:p>
        </w:tc>
        <w:tc>
          <w:tcPr>
            <w:tcW w:w="1563" w:type="dxa"/>
            <w:tcBorders>
              <w:bottom w:val="single" w:sz="8" w:space="0" w:color="000000"/>
            </w:tcBorders>
          </w:tcPr>
          <w:p>
            <w:pPr>
              <w:pStyle w:val="TableParagraph"/>
              <w:spacing w:before="11"/>
              <w:ind w:right="41"/>
              <w:jc w:val="right"/>
              <w:rPr>
                <w:rFonts w:ascii="Arial" w:hAnsi="Arial"/>
                <w:sz w:val="22"/>
              </w:rPr>
            </w:pPr>
            <w:r>
              <w:rPr>
                <w:rFonts w:ascii="Arial" w:hAnsi="Arial"/>
                <w:sz w:val="22"/>
              </w:rPr>
              <w:t>50,00</w:t>
            </w:r>
            <w:r>
              <w:rPr>
                <w:rFonts w:ascii="Arial" w:hAnsi="Arial"/>
                <w:spacing w:val="-5"/>
                <w:sz w:val="22"/>
              </w:rPr>
              <w:t> </w:t>
            </w:r>
            <w:r>
              <w:rPr>
                <w:rFonts w:ascii="Arial" w:hAnsi="Arial"/>
                <w:spacing w:val="-10"/>
                <w:sz w:val="22"/>
              </w:rPr>
              <w:t>€</w:t>
            </w:r>
          </w:p>
        </w:tc>
      </w:tr>
      <w:tr>
        <w:trPr>
          <w:trHeight w:val="271" w:hRule="atLeast"/>
        </w:trPr>
        <w:tc>
          <w:tcPr>
            <w:tcW w:w="3985" w:type="dxa"/>
            <w:tcBorders>
              <w:top w:val="single" w:sz="8" w:space="0" w:color="000000"/>
            </w:tcBorders>
          </w:tcPr>
          <w:p>
            <w:pPr>
              <w:pStyle w:val="TableParagraph"/>
              <w:spacing w:line="251" w:lineRule="exact"/>
              <w:ind w:left="37"/>
              <w:rPr>
                <w:rFonts w:ascii="Arial"/>
                <w:b/>
                <w:sz w:val="22"/>
              </w:rPr>
            </w:pPr>
            <w:r>
              <w:rPr>
                <w:rFonts w:ascii="Arial"/>
                <w:b/>
                <w:color w:val="BF0000"/>
                <w:w w:val="85"/>
                <w:sz w:val="22"/>
              </w:rPr>
              <w:t>TOTAL,</w:t>
            </w:r>
            <w:r>
              <w:rPr>
                <w:rFonts w:ascii="Arial"/>
                <w:b/>
                <w:color w:val="BF0000"/>
                <w:spacing w:val="-5"/>
                <w:sz w:val="22"/>
              </w:rPr>
              <w:t> </w:t>
            </w:r>
            <w:r>
              <w:rPr>
                <w:rFonts w:ascii="Arial"/>
                <w:b/>
                <w:color w:val="BF0000"/>
                <w:w w:val="85"/>
                <w:sz w:val="22"/>
              </w:rPr>
              <w:t>DE</w:t>
            </w:r>
            <w:r>
              <w:rPr>
                <w:rFonts w:ascii="Arial"/>
                <w:b/>
                <w:color w:val="BF0000"/>
                <w:spacing w:val="3"/>
                <w:sz w:val="22"/>
              </w:rPr>
              <w:t> </w:t>
            </w:r>
            <w:r>
              <w:rPr>
                <w:rFonts w:ascii="Arial"/>
                <w:b/>
                <w:color w:val="BF0000"/>
                <w:spacing w:val="-2"/>
                <w:w w:val="85"/>
                <w:sz w:val="22"/>
              </w:rPr>
              <w:t>INGRESOS</w:t>
            </w:r>
          </w:p>
        </w:tc>
        <w:tc>
          <w:tcPr>
            <w:tcW w:w="1563" w:type="dxa"/>
            <w:tcBorders>
              <w:top w:val="single" w:sz="8" w:space="0" w:color="000000"/>
            </w:tcBorders>
          </w:tcPr>
          <w:p>
            <w:pPr>
              <w:pStyle w:val="TableParagraph"/>
              <w:spacing w:line="251" w:lineRule="exact"/>
              <w:ind w:right="41"/>
              <w:jc w:val="right"/>
              <w:rPr>
                <w:rFonts w:ascii="Arial" w:hAnsi="Arial"/>
                <w:b/>
                <w:sz w:val="22"/>
              </w:rPr>
            </w:pPr>
            <w:r>
              <w:rPr>
                <w:rFonts w:ascii="Arial" w:hAnsi="Arial"/>
                <w:b/>
                <w:sz w:val="22"/>
              </w:rPr>
              <w:t>22.530,00</w:t>
            </w:r>
            <w:r>
              <w:rPr>
                <w:rFonts w:ascii="Arial" w:hAnsi="Arial"/>
                <w:b/>
                <w:spacing w:val="-9"/>
                <w:sz w:val="22"/>
              </w:rPr>
              <w:t> </w:t>
            </w:r>
            <w:r>
              <w:rPr>
                <w:rFonts w:ascii="Arial" w:hAnsi="Arial"/>
                <w:b/>
                <w:spacing w:val="-10"/>
                <w:sz w:val="22"/>
              </w:rPr>
              <w:t>€</w:t>
            </w:r>
          </w:p>
        </w:tc>
      </w:tr>
      <w:tr>
        <w:trPr>
          <w:trHeight w:val="289" w:hRule="atLeast"/>
        </w:trPr>
        <w:tc>
          <w:tcPr>
            <w:tcW w:w="3985" w:type="dxa"/>
            <w:tcBorders>
              <w:bottom w:val="single" w:sz="18" w:space="0" w:color="000000"/>
            </w:tcBorders>
          </w:tcPr>
          <w:p>
            <w:pPr>
              <w:pStyle w:val="TableParagraph"/>
              <w:spacing w:before="11"/>
              <w:ind w:left="37"/>
              <w:rPr>
                <w:rFonts w:ascii="Arial"/>
                <w:b/>
                <w:sz w:val="22"/>
              </w:rPr>
            </w:pPr>
            <w:r>
              <w:rPr>
                <w:rFonts w:ascii="Arial"/>
                <w:b/>
                <w:color w:val="BF0000"/>
                <w:w w:val="80"/>
                <w:sz w:val="22"/>
              </w:rPr>
              <w:t>TOTAL,</w:t>
            </w:r>
            <w:r>
              <w:rPr>
                <w:rFonts w:ascii="Arial"/>
                <w:b/>
                <w:color w:val="BF0000"/>
                <w:spacing w:val="18"/>
                <w:sz w:val="22"/>
              </w:rPr>
              <w:t> </w:t>
            </w:r>
            <w:r>
              <w:rPr>
                <w:rFonts w:ascii="Arial"/>
                <w:b/>
                <w:color w:val="BF0000"/>
                <w:w w:val="80"/>
                <w:sz w:val="22"/>
              </w:rPr>
              <w:t>INGRESOS</w:t>
            </w:r>
            <w:r>
              <w:rPr>
                <w:rFonts w:ascii="Arial"/>
                <w:b/>
                <w:color w:val="BF0000"/>
                <w:spacing w:val="24"/>
                <w:sz w:val="22"/>
              </w:rPr>
              <w:t> </w:t>
            </w:r>
            <w:r>
              <w:rPr>
                <w:rFonts w:ascii="Arial"/>
                <w:b/>
                <w:color w:val="BF0000"/>
                <w:w w:val="80"/>
                <w:sz w:val="22"/>
              </w:rPr>
              <w:t>-</w:t>
            </w:r>
            <w:r>
              <w:rPr>
                <w:rFonts w:ascii="Arial"/>
                <w:b/>
                <w:color w:val="BF0000"/>
                <w:spacing w:val="20"/>
                <w:sz w:val="22"/>
              </w:rPr>
              <w:t> </w:t>
            </w:r>
            <w:r>
              <w:rPr>
                <w:rFonts w:ascii="Arial"/>
                <w:b/>
                <w:color w:val="BF0000"/>
                <w:spacing w:val="-2"/>
                <w:w w:val="80"/>
                <w:sz w:val="22"/>
              </w:rPr>
              <w:t>GASTOS</w:t>
            </w:r>
          </w:p>
        </w:tc>
        <w:tc>
          <w:tcPr>
            <w:tcW w:w="1563" w:type="dxa"/>
            <w:tcBorders>
              <w:bottom w:val="single" w:sz="18" w:space="0" w:color="000000"/>
            </w:tcBorders>
          </w:tcPr>
          <w:p>
            <w:pPr>
              <w:pStyle w:val="TableParagraph"/>
              <w:spacing w:before="11"/>
              <w:ind w:right="41"/>
              <w:jc w:val="right"/>
              <w:rPr>
                <w:rFonts w:ascii="Arial" w:hAnsi="Arial"/>
                <w:b/>
                <w:sz w:val="22"/>
              </w:rPr>
            </w:pPr>
            <w:r>
              <w:rPr>
                <w:rFonts w:ascii="Arial" w:hAnsi="Arial"/>
                <w:b/>
                <w:sz w:val="22"/>
              </w:rPr>
              <w:t>38,00</w:t>
            </w:r>
            <w:r>
              <w:rPr>
                <w:rFonts w:ascii="Arial" w:hAnsi="Arial"/>
                <w:b/>
                <w:spacing w:val="-5"/>
                <w:sz w:val="22"/>
              </w:rPr>
              <w:t> </w:t>
            </w:r>
            <w:r>
              <w:rPr>
                <w:rFonts w:ascii="Arial" w:hAnsi="Arial"/>
                <w:b/>
                <w:spacing w:val="-10"/>
                <w:sz w:val="22"/>
              </w:rPr>
              <w:t>€</w:t>
            </w:r>
          </w:p>
        </w:tc>
      </w:tr>
    </w:tbl>
    <w:sectPr>
      <w:pgSz w:w="11900" w:h="16840"/>
      <w:pgMar w:header="0" w:footer="516" w:top="940" w:bottom="700" w:left="1559" w:right="113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w:altName w:val="Arial"/>
    <w:charset w:val="0"/>
    <w:family w:val="swiss"/>
    <w:pitch w:val="variable"/>
  </w:font>
  <w:font w:name="Calibri">
    <w:altName w:val="Calibri"/>
    <w:charset w:val="0"/>
    <w:family w:val="swiss"/>
    <w:pitch w:val="variable"/>
  </w:font>
  <w:font w:name="Calibri Light">
    <w:altName w:val="Calibri Light"/>
    <w:charset w:val="0"/>
    <w:family w:val="swiss"/>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90176">
              <wp:simplePos x="0" y="0"/>
              <wp:positionH relativeFrom="page">
                <wp:posOffset>5997954</wp:posOffset>
              </wp:positionH>
              <wp:positionV relativeFrom="page">
                <wp:posOffset>10256625</wp:posOffset>
              </wp:positionV>
              <wp:extent cx="160020" cy="19685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60020" cy="196850"/>
                      </a:xfrm>
                      <a:prstGeom prst="rect">
                        <a:avLst/>
                      </a:prstGeom>
                    </wps:spPr>
                    <wps:txbx>
                      <w:txbxContent>
                        <w:p>
                          <w:pPr>
                            <w:spacing w:before="2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72.279907pt;margin-top:807.608276pt;width:12.6pt;height:15.5pt;mso-position-horizontal-relative:page;mso-position-vertical-relative:page;z-index:-16226304" type="#_x0000_t202" id="docshape1" filled="false" stroked="false">
              <v:textbox inset="0,0,0,0">
                <w:txbxContent>
                  <w:p>
                    <w:pPr>
                      <w:spacing w:before="2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90688">
              <wp:simplePos x="0" y="0"/>
              <wp:positionH relativeFrom="page">
                <wp:posOffset>6023354</wp:posOffset>
              </wp:positionH>
              <wp:positionV relativeFrom="page">
                <wp:posOffset>10256625</wp:posOffset>
              </wp:positionV>
              <wp:extent cx="96520" cy="19685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96520" cy="196850"/>
                      </a:xfrm>
                      <a:prstGeom prst="rect">
                        <a:avLst/>
                      </a:prstGeom>
                    </wps:spPr>
                    <wps:txbx>
                      <w:txbxContent>
                        <w:p>
                          <w:pPr>
                            <w:spacing w:before="20"/>
                            <w:ind w:left="20" w:right="0" w:firstLine="0"/>
                            <w:jc w:val="left"/>
                            <w:rPr>
                              <w:sz w:val="22"/>
                            </w:rPr>
                          </w:pPr>
                          <w:r>
                            <w:rPr>
                              <w:spacing w:val="-10"/>
                              <w:sz w:val="22"/>
                            </w:rPr>
                            <w:t>1</w:t>
                          </w:r>
                        </w:p>
                      </w:txbxContent>
                    </wps:txbx>
                    <wps:bodyPr wrap="square" lIns="0" tIns="0" rIns="0" bIns="0" rtlCol="0">
                      <a:noAutofit/>
                    </wps:bodyPr>
                  </wps:wsp>
                </a:graphicData>
              </a:graphic>
            </wp:anchor>
          </w:drawing>
        </mc:Choice>
        <mc:Fallback>
          <w:pict>
            <v:shape style="position:absolute;margin-left:474.279907pt;margin-top:807.608276pt;width:7.6pt;height:15.5pt;mso-position-horizontal-relative:page;mso-position-vertical-relative:page;z-index:-16225792" type="#_x0000_t202" id="docshape4" filled="false" stroked="false">
              <v:textbox inset="0,0,0,0">
                <w:txbxContent>
                  <w:p>
                    <w:pPr>
                      <w:spacing w:before="20"/>
                      <w:ind w:left="20" w:right="0" w:firstLine="0"/>
                      <w:jc w:val="left"/>
                      <w:rPr>
                        <w:sz w:val="22"/>
                      </w:rPr>
                    </w:pPr>
                    <w:r>
                      <w:rPr>
                        <w:spacing w:val="-10"/>
                        <w:sz w:val="22"/>
                      </w:rPr>
                      <w:t>1</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91200">
              <wp:simplePos x="0" y="0"/>
              <wp:positionH relativeFrom="page">
                <wp:posOffset>5997954</wp:posOffset>
              </wp:positionH>
              <wp:positionV relativeFrom="page">
                <wp:posOffset>10226144</wp:posOffset>
              </wp:positionV>
              <wp:extent cx="230504" cy="19685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230504" cy="196850"/>
                      </a:xfrm>
                      <a:prstGeom prst="rect">
                        <a:avLst/>
                      </a:prstGeom>
                    </wps:spPr>
                    <wps:txbx>
                      <w:txbxContent>
                        <w:p>
                          <w:pPr>
                            <w:spacing w:before="2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472.279907pt;margin-top:805.208252pt;width:18.150pt;height:15.5pt;mso-position-horizontal-relative:page;mso-position-vertical-relative:page;z-index:-16225280" type="#_x0000_t202" id="docshape5" filled="false" stroked="false">
              <v:textbox inset="0,0,0,0">
                <w:txbxContent>
                  <w:p>
                    <w:pPr>
                      <w:spacing w:before="2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11</w:t>
                    </w:r>
                    <w:r>
                      <w:rPr>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91712">
              <wp:simplePos x="0" y="0"/>
              <wp:positionH relativeFrom="page">
                <wp:posOffset>5997954</wp:posOffset>
              </wp:positionH>
              <wp:positionV relativeFrom="page">
                <wp:posOffset>10226144</wp:posOffset>
              </wp:positionV>
              <wp:extent cx="230504" cy="19685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30504" cy="196850"/>
                      </a:xfrm>
                      <a:prstGeom prst="rect">
                        <a:avLst/>
                      </a:prstGeom>
                    </wps:spPr>
                    <wps:txbx>
                      <w:txbxContent>
                        <w:p>
                          <w:pPr>
                            <w:spacing w:before="2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32</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472.279907pt;margin-top:805.208252pt;width:18.150pt;height:15.5pt;mso-position-horizontal-relative:page;mso-position-vertical-relative:page;z-index:-16224768" type="#_x0000_t202" id="docshape15" filled="false" stroked="false">
              <v:textbox inset="0,0,0,0">
                <w:txbxContent>
                  <w:p>
                    <w:pPr>
                      <w:spacing w:before="2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32</w:t>
                    </w:r>
                    <w:r>
                      <w:rPr>
                        <w:spacing w:val="-5"/>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048"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1970" w:hanging="360"/>
      </w:pPr>
      <w:rPr>
        <w:rFonts w:hint="default"/>
        <w:lang w:val="es-ES" w:eastAsia="en-US" w:bidi="ar-SA"/>
      </w:rPr>
    </w:lvl>
    <w:lvl w:ilvl="2">
      <w:start w:val="0"/>
      <w:numFmt w:val="bullet"/>
      <w:lvlText w:val="•"/>
      <w:lvlJc w:val="left"/>
      <w:pPr>
        <w:ind w:left="2900" w:hanging="360"/>
      </w:pPr>
      <w:rPr>
        <w:rFonts w:hint="default"/>
        <w:lang w:val="es-ES" w:eastAsia="en-US" w:bidi="ar-SA"/>
      </w:rPr>
    </w:lvl>
    <w:lvl w:ilvl="3">
      <w:start w:val="0"/>
      <w:numFmt w:val="bullet"/>
      <w:lvlText w:val="•"/>
      <w:lvlJc w:val="left"/>
      <w:pPr>
        <w:ind w:left="3830" w:hanging="360"/>
      </w:pPr>
      <w:rPr>
        <w:rFonts w:hint="default"/>
        <w:lang w:val="es-ES" w:eastAsia="en-US" w:bidi="ar-SA"/>
      </w:rPr>
    </w:lvl>
    <w:lvl w:ilvl="4">
      <w:start w:val="0"/>
      <w:numFmt w:val="bullet"/>
      <w:lvlText w:val="•"/>
      <w:lvlJc w:val="left"/>
      <w:pPr>
        <w:ind w:left="4760" w:hanging="360"/>
      </w:pPr>
      <w:rPr>
        <w:rFonts w:hint="default"/>
        <w:lang w:val="es-ES" w:eastAsia="en-US" w:bidi="ar-SA"/>
      </w:rPr>
    </w:lvl>
    <w:lvl w:ilvl="5">
      <w:start w:val="0"/>
      <w:numFmt w:val="bullet"/>
      <w:lvlText w:val="•"/>
      <w:lvlJc w:val="left"/>
      <w:pPr>
        <w:ind w:left="5691" w:hanging="360"/>
      </w:pPr>
      <w:rPr>
        <w:rFonts w:hint="default"/>
        <w:lang w:val="es-ES" w:eastAsia="en-US" w:bidi="ar-SA"/>
      </w:rPr>
    </w:lvl>
    <w:lvl w:ilvl="6">
      <w:start w:val="0"/>
      <w:numFmt w:val="bullet"/>
      <w:lvlText w:val="•"/>
      <w:lvlJc w:val="left"/>
      <w:pPr>
        <w:ind w:left="6621" w:hanging="360"/>
      </w:pPr>
      <w:rPr>
        <w:rFonts w:hint="default"/>
        <w:lang w:val="es-ES" w:eastAsia="en-US" w:bidi="ar-SA"/>
      </w:rPr>
    </w:lvl>
    <w:lvl w:ilvl="7">
      <w:start w:val="0"/>
      <w:numFmt w:val="bullet"/>
      <w:lvlText w:val="•"/>
      <w:lvlJc w:val="left"/>
      <w:pPr>
        <w:ind w:left="7551" w:hanging="360"/>
      </w:pPr>
      <w:rPr>
        <w:rFonts w:hint="default"/>
        <w:lang w:val="es-ES" w:eastAsia="en-US" w:bidi="ar-SA"/>
      </w:rPr>
    </w:lvl>
    <w:lvl w:ilvl="8">
      <w:start w:val="0"/>
      <w:numFmt w:val="bullet"/>
      <w:lvlText w:val="•"/>
      <w:lvlJc w:val="left"/>
      <w:pPr>
        <w:ind w:left="8481" w:hanging="360"/>
      </w:pPr>
      <w:rPr>
        <w:rFonts w:hint="default"/>
        <w:lang w:val="es-ES" w:eastAsia="en-US" w:bidi="ar-SA"/>
      </w:rPr>
    </w:lvl>
  </w:abstractNum>
  <w:abstractNum w:abstractNumId="0">
    <w:multiLevelType w:val="hybridMultilevel"/>
    <w:lvl w:ilvl="0">
      <w:start w:val="0"/>
      <w:numFmt w:val="bullet"/>
      <w:lvlText w:val=""/>
      <w:lvlJc w:val="left"/>
      <w:pPr>
        <w:ind w:left="947" w:hanging="360"/>
      </w:pPr>
      <w:rPr>
        <w:rFonts w:hint="default" w:ascii="Symbol" w:hAnsi="Symbol" w:eastAsia="Symbol" w:cs="Symbol"/>
        <w:b w:val="0"/>
        <w:bCs w:val="0"/>
        <w:i w:val="0"/>
        <w:iCs w:val="0"/>
        <w:spacing w:val="0"/>
        <w:w w:val="100"/>
        <w:sz w:val="20"/>
        <w:szCs w:val="20"/>
        <w:lang w:val="es-ES" w:eastAsia="en-US" w:bidi="ar-SA"/>
      </w:rPr>
    </w:lvl>
    <w:lvl w:ilvl="1">
      <w:start w:val="0"/>
      <w:numFmt w:val="bullet"/>
      <w:lvlText w:val=""/>
      <w:lvlJc w:val="left"/>
      <w:pPr>
        <w:ind w:left="1048" w:hanging="361"/>
      </w:pPr>
      <w:rPr>
        <w:rFonts w:hint="default" w:ascii="Symbol" w:hAnsi="Symbol" w:eastAsia="Symbol" w:cs="Symbol"/>
        <w:b w:val="0"/>
        <w:bCs w:val="0"/>
        <w:i w:val="0"/>
        <w:iCs w:val="0"/>
        <w:spacing w:val="0"/>
        <w:w w:val="100"/>
        <w:sz w:val="24"/>
        <w:szCs w:val="24"/>
        <w:lang w:val="es-ES" w:eastAsia="en-US" w:bidi="ar-SA"/>
      </w:rPr>
    </w:lvl>
    <w:lvl w:ilvl="2">
      <w:start w:val="0"/>
      <w:numFmt w:val="bullet"/>
      <w:lvlText w:val="•"/>
      <w:lvlJc w:val="left"/>
      <w:pPr>
        <w:ind w:left="2073" w:hanging="361"/>
      </w:pPr>
      <w:rPr>
        <w:rFonts w:hint="default"/>
        <w:lang w:val="es-ES" w:eastAsia="en-US" w:bidi="ar-SA"/>
      </w:rPr>
    </w:lvl>
    <w:lvl w:ilvl="3">
      <w:start w:val="0"/>
      <w:numFmt w:val="bullet"/>
      <w:lvlText w:val="•"/>
      <w:lvlJc w:val="left"/>
      <w:pPr>
        <w:ind w:left="3107" w:hanging="361"/>
      </w:pPr>
      <w:rPr>
        <w:rFonts w:hint="default"/>
        <w:lang w:val="es-ES" w:eastAsia="en-US" w:bidi="ar-SA"/>
      </w:rPr>
    </w:lvl>
    <w:lvl w:ilvl="4">
      <w:start w:val="0"/>
      <w:numFmt w:val="bullet"/>
      <w:lvlText w:val="•"/>
      <w:lvlJc w:val="left"/>
      <w:pPr>
        <w:ind w:left="4140" w:hanging="361"/>
      </w:pPr>
      <w:rPr>
        <w:rFonts w:hint="default"/>
        <w:lang w:val="es-ES" w:eastAsia="en-US" w:bidi="ar-SA"/>
      </w:rPr>
    </w:lvl>
    <w:lvl w:ilvl="5">
      <w:start w:val="0"/>
      <w:numFmt w:val="bullet"/>
      <w:lvlText w:val="•"/>
      <w:lvlJc w:val="left"/>
      <w:pPr>
        <w:ind w:left="5174" w:hanging="361"/>
      </w:pPr>
      <w:rPr>
        <w:rFonts w:hint="default"/>
        <w:lang w:val="es-ES" w:eastAsia="en-US" w:bidi="ar-SA"/>
      </w:rPr>
    </w:lvl>
    <w:lvl w:ilvl="6">
      <w:start w:val="0"/>
      <w:numFmt w:val="bullet"/>
      <w:lvlText w:val="•"/>
      <w:lvlJc w:val="left"/>
      <w:pPr>
        <w:ind w:left="6207" w:hanging="361"/>
      </w:pPr>
      <w:rPr>
        <w:rFonts w:hint="default"/>
        <w:lang w:val="es-ES" w:eastAsia="en-US" w:bidi="ar-SA"/>
      </w:rPr>
    </w:lvl>
    <w:lvl w:ilvl="7">
      <w:start w:val="0"/>
      <w:numFmt w:val="bullet"/>
      <w:lvlText w:val="•"/>
      <w:lvlJc w:val="left"/>
      <w:pPr>
        <w:ind w:left="7241" w:hanging="361"/>
      </w:pPr>
      <w:rPr>
        <w:rFonts w:hint="default"/>
        <w:lang w:val="es-ES" w:eastAsia="en-US" w:bidi="ar-SA"/>
      </w:rPr>
    </w:lvl>
    <w:lvl w:ilvl="8">
      <w:start w:val="0"/>
      <w:numFmt w:val="bullet"/>
      <w:lvlText w:val="•"/>
      <w:lvlJc w:val="left"/>
      <w:pPr>
        <w:ind w:left="8274" w:hanging="361"/>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s-ES" w:eastAsia="en-US" w:bidi="ar-SA"/>
    </w:rPr>
  </w:style>
  <w:style w:styleId="TOC1" w:type="paragraph">
    <w:name w:val="TOC 1"/>
    <w:basedOn w:val="Normal"/>
    <w:uiPriority w:val="1"/>
    <w:qFormat/>
    <w:pPr>
      <w:spacing w:before="241"/>
      <w:ind w:left="348"/>
    </w:pPr>
    <w:rPr>
      <w:rFonts w:ascii="Calibri" w:hAnsi="Calibri" w:eastAsia="Calibri" w:cs="Calibri"/>
      <w:b/>
      <w:bCs/>
      <w:sz w:val="20"/>
      <w:szCs w:val="20"/>
      <w:lang w:val="es-ES" w:eastAsia="en-US" w:bidi="ar-SA"/>
    </w:rPr>
  </w:style>
  <w:style w:styleId="TOC2" w:type="paragraph">
    <w:name w:val="TOC 2"/>
    <w:basedOn w:val="Normal"/>
    <w:uiPriority w:val="1"/>
    <w:qFormat/>
    <w:pPr>
      <w:spacing w:before="126"/>
      <w:ind w:left="577"/>
    </w:pPr>
    <w:rPr>
      <w:rFonts w:ascii="Calibri" w:hAnsi="Calibri" w:eastAsia="Calibri" w:cs="Calibri"/>
      <w:sz w:val="20"/>
      <w:szCs w:val="20"/>
      <w:lang w:val="es-ES" w:eastAsia="en-US" w:bidi="ar-SA"/>
    </w:rPr>
  </w:style>
  <w:style w:styleId="TOC3" w:type="paragraph">
    <w:name w:val="TOC 3"/>
    <w:basedOn w:val="Normal"/>
    <w:uiPriority w:val="1"/>
    <w:qFormat/>
    <w:pPr>
      <w:spacing w:before="125"/>
      <w:ind w:left="577"/>
    </w:pPr>
    <w:rPr>
      <w:rFonts w:ascii="Calibri" w:hAnsi="Calibri" w:eastAsia="Calibri" w:cs="Calibri"/>
      <w:sz w:val="20"/>
      <w:szCs w:val="20"/>
      <w:lang w:val="es-ES" w:eastAsia="en-US" w:bidi="ar-SA"/>
    </w:rPr>
  </w:style>
  <w:style w:styleId="BodyText" w:type="paragraph">
    <w:name w:val="Body Text"/>
    <w:basedOn w:val="Normal"/>
    <w:uiPriority w:val="1"/>
    <w:qFormat/>
    <w:pPr/>
    <w:rPr>
      <w:rFonts w:ascii="Calibri" w:hAnsi="Calibri" w:eastAsia="Calibri" w:cs="Calibri"/>
      <w:sz w:val="24"/>
      <w:szCs w:val="24"/>
      <w:lang w:val="es-ES" w:eastAsia="en-US" w:bidi="ar-SA"/>
    </w:rPr>
  </w:style>
  <w:style w:styleId="Heading1" w:type="paragraph">
    <w:name w:val="Heading 1"/>
    <w:basedOn w:val="Normal"/>
    <w:uiPriority w:val="1"/>
    <w:qFormat/>
    <w:pPr>
      <w:spacing w:before="77"/>
      <w:ind w:left="328"/>
      <w:outlineLvl w:val="1"/>
    </w:pPr>
    <w:rPr>
      <w:rFonts w:ascii="Arial Black" w:hAnsi="Arial Black" w:eastAsia="Arial Black" w:cs="Arial Black"/>
      <w:b/>
      <w:bCs/>
      <w:sz w:val="36"/>
      <w:szCs w:val="36"/>
      <w:lang w:val="es-ES" w:eastAsia="en-US" w:bidi="ar-SA"/>
    </w:rPr>
  </w:style>
  <w:style w:styleId="Heading2" w:type="paragraph">
    <w:name w:val="Heading 2"/>
    <w:basedOn w:val="Normal"/>
    <w:uiPriority w:val="1"/>
    <w:qFormat/>
    <w:pPr>
      <w:ind w:left="61"/>
      <w:outlineLvl w:val="2"/>
    </w:pPr>
    <w:rPr>
      <w:rFonts w:ascii="Calibri" w:hAnsi="Calibri" w:eastAsia="Calibri" w:cs="Calibri"/>
      <w:b/>
      <w:bCs/>
      <w:sz w:val="32"/>
      <w:szCs w:val="32"/>
      <w:lang w:val="es-ES" w:eastAsia="en-US" w:bidi="ar-SA"/>
    </w:rPr>
  </w:style>
  <w:style w:styleId="Heading3" w:type="paragraph">
    <w:name w:val="Heading 3"/>
    <w:basedOn w:val="Normal"/>
    <w:uiPriority w:val="1"/>
    <w:qFormat/>
    <w:pPr>
      <w:ind w:left="429"/>
      <w:jc w:val="both"/>
      <w:outlineLvl w:val="3"/>
    </w:pPr>
    <w:rPr>
      <w:rFonts w:ascii="Calibri" w:hAnsi="Calibri" w:eastAsia="Calibri" w:cs="Calibri"/>
      <w:b/>
      <w:bCs/>
      <w:sz w:val="32"/>
      <w:szCs w:val="32"/>
      <w:lang w:val="es-ES" w:eastAsia="en-US" w:bidi="ar-SA"/>
    </w:rPr>
  </w:style>
  <w:style w:styleId="Heading4" w:type="paragraph">
    <w:name w:val="Heading 4"/>
    <w:basedOn w:val="Normal"/>
    <w:uiPriority w:val="1"/>
    <w:qFormat/>
    <w:pPr>
      <w:ind w:left="165"/>
      <w:jc w:val="both"/>
      <w:outlineLvl w:val="4"/>
    </w:pPr>
    <w:rPr>
      <w:rFonts w:ascii="Calibri" w:hAnsi="Calibri" w:eastAsia="Calibri" w:cs="Calibri"/>
      <w:b/>
      <w:bCs/>
      <w:sz w:val="24"/>
      <w:szCs w:val="24"/>
      <w:lang w:val="es-ES" w:eastAsia="en-US" w:bidi="ar-SA"/>
    </w:rPr>
  </w:style>
  <w:style w:styleId="Heading5" w:type="paragraph">
    <w:name w:val="Heading 5"/>
    <w:basedOn w:val="Normal"/>
    <w:uiPriority w:val="1"/>
    <w:qFormat/>
    <w:pPr>
      <w:ind w:left="328"/>
      <w:jc w:val="both"/>
      <w:outlineLvl w:val="5"/>
    </w:pPr>
    <w:rPr>
      <w:rFonts w:ascii="Calibri" w:hAnsi="Calibri" w:eastAsia="Calibri" w:cs="Calibri"/>
      <w:b/>
      <w:bCs/>
      <w:sz w:val="24"/>
      <w:szCs w:val="24"/>
      <w:lang w:val="es-ES" w:eastAsia="en-US" w:bidi="ar-SA"/>
    </w:rPr>
  </w:style>
  <w:style w:styleId="Title" w:type="paragraph">
    <w:name w:val="Title"/>
    <w:basedOn w:val="Normal"/>
    <w:uiPriority w:val="1"/>
    <w:qFormat/>
    <w:pPr>
      <w:spacing w:before="484"/>
      <w:ind w:right="921"/>
      <w:jc w:val="center"/>
    </w:pPr>
    <w:rPr>
      <w:rFonts w:ascii="Calibri Light" w:hAnsi="Calibri Light" w:eastAsia="Calibri Light" w:cs="Calibri Light"/>
      <w:sz w:val="72"/>
      <w:szCs w:val="72"/>
      <w:lang w:val="es-ES" w:eastAsia="en-US" w:bidi="ar-SA"/>
    </w:rPr>
  </w:style>
  <w:style w:styleId="ListParagraph" w:type="paragraph">
    <w:name w:val="List Paragraph"/>
    <w:basedOn w:val="Normal"/>
    <w:uiPriority w:val="1"/>
    <w:qFormat/>
    <w:pPr>
      <w:ind w:left="1048" w:hanging="360"/>
    </w:pPr>
    <w:rPr>
      <w:rFonts w:ascii="Calibri" w:hAnsi="Calibri" w:eastAsia="Calibri" w:cs="Calibri"/>
      <w:lang w:val="es-ES" w:eastAsia="en-US" w:bidi="ar-SA"/>
    </w:rPr>
  </w:style>
  <w:style w:styleId="TableParagraph" w:type="paragraph">
    <w:name w:val="Table Paragraph"/>
    <w:basedOn w:val="Normal"/>
    <w:uiPriority w:val="1"/>
    <w:qFormat/>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2.jpe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yperlink" Target="https://www.ull.es/portal/hipotesis/de-la-alquimia-a-la-ciencia-moderna-una-" TargetMode="External"/><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footer" Target="footer4.xml"/><Relationship Id="rId43" Type="http://schemas.openxmlformats.org/officeDocument/2006/relationships/image" Target="media/image34.png"/><Relationship Id="rId44" Type="http://schemas.openxmlformats.org/officeDocument/2006/relationships/footer" Target="footer5.xml"/><Relationship Id="rId45" Type="http://schemas.openxmlformats.org/officeDocument/2006/relationships/image" Target="media/image35.png"/><Relationship Id="rId46" Type="http://schemas.openxmlformats.org/officeDocument/2006/relationships/footer" Target="footer6.xml"/><Relationship Id="rId4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MCSG</dc:creator>
  <dc:title>MEMORIA 2025</dc:title>
  <dcterms:created xsi:type="dcterms:W3CDTF">2026-05-28T19:25:09Z</dcterms:created>
  <dcterms:modified xsi:type="dcterms:W3CDTF">2026-05-28T19:25:09Z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2026-02-27T00:00:00Z</vt:filetime>
  </property>
  <property fmtid="{D5CDD505-2E9C-101B-9397-08002B2CF9AE}" pid="3" name="Creator">
    <vt:lpwstr>Word</vt:lpwstr>
  </property>
  <property fmtid="{D5CDD505-2E9C-101B-9397-08002B2CF9AE}" pid="4" name="LastSaved">
    <vt:filetime>2026-05-28T00:00:00Z</vt:filetime>
  </property>
  <property fmtid="{D5CDD505-2E9C-101B-9397-08002B2CF9AE}" pid="5" name="Producer">
    <vt:lpwstr>macOS Versión 26.3 (Compilación 25D125) Quartz PDFContext</vt:lpwstr>
  </property>
</Properties>
</file>