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/>
        <w:bidi w:val="0"/>
        <w:spacing w:before="0" w:after="0"/>
        <w:ind w:hanging="0" w:start="0" w:end="0"/>
        <w:jc w:val="start"/>
        <w:rPr>
          <w:rFonts w:ascii="inherit" w:hAnsi="inherit"/>
          <w:b w:val="false"/>
          <w:color w:val="009999"/>
          <w:sz w:val="63"/>
        </w:rPr>
      </w:pPr>
      <w:r>
        <w:rPr>
          <w:rFonts w:ascii="inherit" w:hAnsi="inherit"/>
          <w:b w:val="false"/>
          <w:color w:val="009999"/>
          <w:sz w:val="63"/>
        </w:rPr>
        <w:t>Información económico-financiera</w:t>
      </w:r>
    </w:p>
    <w:p>
      <w:pPr>
        <w:pStyle w:val="Heading3"/>
        <w:widowControl/>
        <w:pBdr/>
        <w:bidi w:val="0"/>
        <w:spacing w:before="0" w:after="300"/>
        <w:ind w:hanging="0" w:start="0" w:end="0"/>
        <w:jc w:val="start"/>
        <w:rPr>
          <w:rFonts w:ascii="inherit" w:hAnsi="inherit"/>
          <w:b w:val="false"/>
          <w:i w:val="false"/>
          <w:caps w:val="false"/>
          <w:smallCaps w:val="false"/>
          <w:color w:val="009999"/>
          <w:spacing w:val="0"/>
          <w:sz w:val="36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9999"/>
          <w:spacing w:val="0"/>
          <w:sz w:val="36"/>
        </w:rPr>
        <w:t>Presupuestos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2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Presupuesto 2026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3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Presupuesto 2025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4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Presupuesto 2024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5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Presupuesto 2023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6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Presupuesto 2022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7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Presupuesto 2021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8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Presupuesto 2020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9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Presupuesto 2019</w:t>
        </w:r>
      </w:hyperlink>
    </w:p>
    <w:p>
      <w:pPr>
        <w:pStyle w:val="Heading3"/>
        <w:widowControl/>
        <w:pBdr/>
        <w:bidi w:val="0"/>
        <w:spacing w:before="0" w:after="300"/>
        <w:ind w:hanging="0" w:start="0" w:end="0"/>
        <w:jc w:val="start"/>
        <w:rPr>
          <w:rFonts w:ascii="inherit" w:hAnsi="inherit"/>
          <w:b w:val="false"/>
          <w:i w:val="false"/>
          <w:caps w:val="false"/>
          <w:smallCaps w:val="false"/>
          <w:color w:val="009999"/>
          <w:spacing w:val="0"/>
          <w:sz w:val="36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9999"/>
          <w:spacing w:val="0"/>
          <w:sz w:val="36"/>
        </w:rPr>
        <w:t>Ingresos y gastos – Balance de cuentas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10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Ingresos y gastos 2025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11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Ingresos y gastos 2024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12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Ingresos y gastos 2023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13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Ingresos y gastos 2022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14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Ingresos y gastos 2021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15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Ingresos y gastos 2020</w:t>
        </w:r>
      </w:hyperlink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hyperlink r:id="rId16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Ingresos y gastos 2019</w:t>
        </w:r>
      </w:hyperlink>
    </w:p>
    <w:p>
      <w:pPr>
        <w:pStyle w:val="Heading3"/>
        <w:widowControl/>
        <w:pBdr/>
        <w:bidi w:val="0"/>
        <w:spacing w:before="0" w:after="300"/>
        <w:ind w:hanging="0" w:start="0" w:end="0"/>
        <w:jc w:val="start"/>
        <w:rPr>
          <w:rFonts w:ascii="inherit" w:hAnsi="inherit"/>
          <w:b w:val="false"/>
          <w:i w:val="false"/>
          <w:caps w:val="false"/>
          <w:smallCaps w:val="false"/>
          <w:color w:val="009999"/>
          <w:spacing w:val="0"/>
          <w:sz w:val="36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9999"/>
          <w:spacing w:val="0"/>
          <w:sz w:val="36"/>
        </w:rPr>
        <w:t>Memorias anuales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Puede consultar toda la información en las Memorias Anuales del Colegio Oficial de Químicos de Canarias accediendo a este </w:t>
      </w:r>
      <w:hyperlink r:id="rId17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enlace</w:t>
        </w:r>
      </w:hyperlink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Según estable la normativa vigente, ni la </w:t>
      </w:r>
      <w:hyperlink r:id="rId18" w:tgtFrame="_blank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Ley de Colegios Profesionales</w:t>
        </w:r>
      </w:hyperlink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 ni la </w:t>
      </w:r>
      <w:hyperlink r:id="rId19" w:tgtFrame="_blank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Ley de Sociedades de Capital</w:t>
        </w:r>
      </w:hyperlink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, establecen ningún requisito ni disposición que incluya la obligatoriedad de auditoría externa al Colegio por lo que no se ha realizado ninguna durante el año 2023-2024.</w:t>
      </w:r>
    </w:p>
    <w:p>
      <w:pPr>
        <w:pStyle w:val="Heading3"/>
        <w:widowControl/>
        <w:pBdr/>
        <w:bidi w:val="0"/>
        <w:spacing w:before="0" w:after="300"/>
        <w:ind w:hanging="0" w:start="0" w:end="0"/>
        <w:jc w:val="start"/>
        <w:rPr>
          <w:rFonts w:ascii="inherit" w:hAnsi="inherit"/>
          <w:b w:val="false"/>
          <w:i w:val="false"/>
          <w:caps w:val="false"/>
          <w:smallCaps w:val="false"/>
          <w:color w:val="009999"/>
          <w:spacing w:val="0"/>
          <w:sz w:val="36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9999"/>
          <w:spacing w:val="0"/>
          <w:sz w:val="36"/>
        </w:rPr>
        <w:t>Financiación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Según el artículo 51, De los recursos económicos de los Colegios, de los Estatutos vigentes del Colegio: Constituyen los recursos económicos de los Colegios: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a) Las cuotas periódicas, ordinarias o extraordinarias que señale cada Colegio a sus miembros.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b) La cuota de colegiación que pudiera establecer el Colegio.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c) Los frutos, rentas e intereses de toda clase que produzcan los bienes o derechos que integren el patrimonio del Colegio.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d) Los derechos por visado de proyectos y demás servicios que tengan establecidos los Colegios.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e) Los ingresos que se obtuvieran por publicaciones que realicen, por matrículas de cursos que puedan organizar, por prestación de servicios a sus colegiados y otros conceptos análogos.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f) Las subvenciones, donativos, herencias o legados que se otorguen por el Estado, corporaciones oficiales, entidades públicas o privadas y particulares.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g) Las cantidades que por cualquier otro concepto no especificado puedan percibir los Colegios.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/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Fecha de Actualización: miércoles, 08 de abril de 2026.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inherit">
    <w:charset w:val="00" w:characterSet="windows-1252"/>
    <w:family w:val="auto"/>
    <w:pitch w:val="default"/>
  </w:font>
  <w:font w:name="Oxygen">
    <w:altName w:val="sans-serif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lequimcan.es/wp-content/uploads/2026/04/Presupuesto-2026.xlsx" TargetMode="External"/><Relationship Id="rId3" Type="http://schemas.openxmlformats.org/officeDocument/2006/relationships/hyperlink" Target="https://colequimcan.es/wp-content/uploads/2025/03/Presupuesto-2025.csv" TargetMode="External"/><Relationship Id="rId4" Type="http://schemas.openxmlformats.org/officeDocument/2006/relationships/hyperlink" Target="https://colequimcan.es/wp-content/uploads/2024/02/PRESUPUESTOS-2024.csv" TargetMode="External"/><Relationship Id="rId5" Type="http://schemas.openxmlformats.org/officeDocument/2006/relationships/hyperlink" Target="https://colequimcan.es/wp-content/uploads/2023/10/PRESUPUESTOS-2023-1.xlsx" TargetMode="External"/><Relationship Id="rId6" Type="http://schemas.openxmlformats.org/officeDocument/2006/relationships/hyperlink" Target="https://colequimcan.es/wp-content/uploads/2022/06/PRESUPUESTOS-2022.xlsx" TargetMode="External"/><Relationship Id="rId7" Type="http://schemas.openxmlformats.org/officeDocument/2006/relationships/hyperlink" Target="https://colequimcan.es/wp-content/uploads/2020/11/PRESUPUESTOS_2020.docx" TargetMode="External"/><Relationship Id="rId8" Type="http://schemas.openxmlformats.org/officeDocument/2006/relationships/hyperlink" Target="https://colequimcan.es/wp-content/uploads/2020/11/PRESUPUESTOS_2020.docx" TargetMode="External"/><Relationship Id="rId9" Type="http://schemas.openxmlformats.org/officeDocument/2006/relationships/hyperlink" Target="https://colequimcan.es/wp-content/uploads/2020/11/PRESUPUESTOS_2019.docx" TargetMode="External"/><Relationship Id="rId10" Type="http://schemas.openxmlformats.org/officeDocument/2006/relationships/hyperlink" Target="https://colequimcan.es/wp-content/uploads/2026/04/Ingresos-Gastos-2025-COQC.xlsx" TargetMode="External"/><Relationship Id="rId11" Type="http://schemas.openxmlformats.org/officeDocument/2006/relationships/hyperlink" Target="https://colequimcan.es/wp-content/uploads/2025/03/Ingresos-y-gastos-2024.csv" TargetMode="External"/><Relationship Id="rId12" Type="http://schemas.openxmlformats.org/officeDocument/2006/relationships/hyperlink" Target="https://colequimcan.es/wp-content/uploads/2024/02/IG-h.-31.12.23.csv" TargetMode="External"/><Relationship Id="rId13" Type="http://schemas.openxmlformats.org/officeDocument/2006/relationships/hyperlink" Target="https://colequimcan.es/wp-content/uploads/2023/10/IG-Col-2022.xlsx" TargetMode="External"/><Relationship Id="rId14" Type="http://schemas.openxmlformats.org/officeDocument/2006/relationships/hyperlink" Target="https://colequimcan.es/wp-content/uploads/2022/06/Adenda-IG-Col-2021.xlsx" TargetMode="External"/><Relationship Id="rId15" Type="http://schemas.openxmlformats.org/officeDocument/2006/relationships/hyperlink" Target="https://colequimcan.es/wp-content/uploads/2021/04/IG-2020.pdf" TargetMode="External"/><Relationship Id="rId16" Type="http://schemas.openxmlformats.org/officeDocument/2006/relationships/hyperlink" Target="https://colequimcan.es/wp-content/uploads/2020/11/Ingreso-y-gastos-2019.docx" TargetMode="External"/><Relationship Id="rId17" Type="http://schemas.openxmlformats.org/officeDocument/2006/relationships/hyperlink" Target="https://colequimcan.es/memorias-anuales" TargetMode="External"/><Relationship Id="rId18" Type="http://schemas.openxmlformats.org/officeDocument/2006/relationships/hyperlink" Target="https://www.boe.es/buscar/act.php?id=BOE-A-1974-289" TargetMode="External"/><Relationship Id="rId19" Type="http://schemas.openxmlformats.org/officeDocument/2006/relationships/hyperlink" Target="https://www.boe.es/eli/es/rdlg/2010/07/02/1/con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2</Pages>
  <Words>276</Words>
  <Characters>1569</Characters>
  <CharactersWithSpaces>1815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2026-04-08T09:11:19Z</dcterms:created>
  <dc:creator/>
  <dc:description/>
  <dc:language>es-ES</dc:language>
  <cp:lastModifiedBy/>
  <dcterms:modified xsi:type="dcterms:W3CDTF">2026-04-08T09:12:46Z</dcterms:modified>
  <cp:revision>1</cp:revision>
  <dc:subject/>
  <dc:title/>
</cp:coreProperties>
</file>