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4BF" w14:textId="77777777" w:rsidR="00E71059" w:rsidRPr="00E71059" w:rsidRDefault="00E71059" w:rsidP="00E71059">
      <w:pPr>
        <w:spacing w:after="0" w:line="336" w:lineRule="atLeast"/>
        <w:outlineLvl w:val="0"/>
        <w:rPr>
          <w:rFonts w:ascii="inherit" w:eastAsia="Times New Roman" w:hAnsi="inherit" w:cs="Times New Roman"/>
          <w:color w:val="009999"/>
          <w:kern w:val="36"/>
          <w:sz w:val="63"/>
          <w:szCs w:val="63"/>
          <w:lang w:eastAsia="es-ES"/>
          <w14:ligatures w14:val="none"/>
        </w:rPr>
      </w:pPr>
      <w:r w:rsidRPr="00E71059">
        <w:rPr>
          <w:rFonts w:ascii="inherit" w:eastAsia="Times New Roman" w:hAnsi="inherit" w:cs="Times New Roman"/>
          <w:color w:val="009999"/>
          <w:kern w:val="36"/>
          <w:sz w:val="63"/>
          <w:szCs w:val="63"/>
          <w:lang w:eastAsia="es-ES"/>
          <w14:ligatures w14:val="none"/>
        </w:rPr>
        <w:t>Información económico-financiera</w:t>
      </w:r>
    </w:p>
    <w:p w14:paraId="64C88417" w14:textId="77777777" w:rsidR="00E71059" w:rsidRPr="00E71059" w:rsidRDefault="00E71059" w:rsidP="00E71059">
      <w:pPr>
        <w:shd w:val="clear" w:color="auto" w:fill="FFFFFF"/>
        <w:spacing w:after="300" w:line="336" w:lineRule="atLeast"/>
        <w:outlineLvl w:val="2"/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</w:pPr>
      <w:r w:rsidRPr="00E71059"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  <w:t>Presupuestos</w:t>
      </w:r>
    </w:p>
    <w:p w14:paraId="7B8042BD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4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Presupuesto 2023</w:t>
        </w:r>
      </w:hyperlink>
    </w:p>
    <w:p w14:paraId="028D4B71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5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Presupuesto 2022</w:t>
        </w:r>
      </w:hyperlink>
    </w:p>
    <w:p w14:paraId="0193EE6B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6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Presupuesto 2021</w:t>
        </w:r>
      </w:hyperlink>
    </w:p>
    <w:p w14:paraId="232E337A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7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Presupuesto 2020</w:t>
        </w:r>
      </w:hyperlink>
    </w:p>
    <w:p w14:paraId="3E798710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8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Presupuesto 2019</w:t>
        </w:r>
      </w:hyperlink>
    </w:p>
    <w:p w14:paraId="573F3CE7" w14:textId="77777777" w:rsidR="00E71059" w:rsidRPr="00E71059" w:rsidRDefault="00E71059" w:rsidP="00E71059">
      <w:pPr>
        <w:shd w:val="clear" w:color="auto" w:fill="FFFFFF"/>
        <w:spacing w:after="300" w:line="336" w:lineRule="atLeast"/>
        <w:outlineLvl w:val="2"/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</w:pPr>
      <w:r w:rsidRPr="00E71059"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  <w:t>Ingresos y gastos – Balance de cuentas</w:t>
      </w:r>
    </w:p>
    <w:p w14:paraId="30104209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9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Ingresos y gastos 2022</w:t>
        </w:r>
      </w:hyperlink>
    </w:p>
    <w:p w14:paraId="7AC21E1F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10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Ingresos y gastos 2021</w:t>
        </w:r>
      </w:hyperlink>
    </w:p>
    <w:p w14:paraId="040A76B6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11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Ingresos y gastos 2020</w:t>
        </w:r>
      </w:hyperlink>
    </w:p>
    <w:p w14:paraId="2078E9E1" w14:textId="77777777" w:rsidR="00E71059" w:rsidRPr="00E71059" w:rsidRDefault="005A15AB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hyperlink r:id="rId12" w:history="1">
        <w:r w:rsidR="00E71059"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Ingresos y gastos 2019</w:t>
        </w:r>
      </w:hyperlink>
    </w:p>
    <w:p w14:paraId="59B11455" w14:textId="77777777" w:rsidR="00E71059" w:rsidRPr="00E71059" w:rsidRDefault="00E71059" w:rsidP="00E71059">
      <w:pPr>
        <w:shd w:val="clear" w:color="auto" w:fill="FFFFFF"/>
        <w:spacing w:after="300" w:line="336" w:lineRule="atLeast"/>
        <w:outlineLvl w:val="2"/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</w:pPr>
      <w:r w:rsidRPr="00E71059"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  <w:t>Memorias anuales</w:t>
      </w:r>
    </w:p>
    <w:p w14:paraId="7965F889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Puede consultar toda la información en las Memorias Anuales del Colegio Oficial de Químicos de Canarias accediendo a este </w:t>
      </w:r>
      <w:hyperlink r:id="rId13" w:history="1">
        <w:r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enlace</w:t>
        </w:r>
      </w:hyperlink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.</w:t>
      </w:r>
    </w:p>
    <w:p w14:paraId="57FCA30B" w14:textId="0D714E5B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Según estable la normativa vigente, ni la </w:t>
      </w:r>
      <w:hyperlink r:id="rId14" w:tgtFrame="_blank" w:history="1">
        <w:r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Ley de Colegios Profesionales</w:t>
        </w:r>
      </w:hyperlink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 ni la </w:t>
      </w:r>
      <w:hyperlink r:id="rId15" w:tgtFrame="_blank" w:history="1">
        <w:r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Ley de Sociedades de Capital</w:t>
        </w:r>
      </w:hyperlink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, establecen ningún requisito ni disposición que incluya la obligatoriedad de auditoría externa al Colegio por lo que no se ha realizado ninguna durante el año 2022</w:t>
      </w:r>
      <w:r w:rsidR="005A15AB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-2023</w:t>
      </w: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.</w:t>
      </w:r>
    </w:p>
    <w:p w14:paraId="1207BFD4" w14:textId="77777777" w:rsidR="00E71059" w:rsidRPr="00E71059" w:rsidRDefault="00E71059" w:rsidP="00E71059">
      <w:pPr>
        <w:shd w:val="clear" w:color="auto" w:fill="FFFFFF"/>
        <w:spacing w:after="300" w:line="336" w:lineRule="atLeast"/>
        <w:outlineLvl w:val="2"/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</w:pPr>
      <w:r w:rsidRPr="00E71059">
        <w:rPr>
          <w:rFonts w:ascii="inherit" w:eastAsia="Times New Roman" w:hAnsi="inherit" w:cs="Times New Roman"/>
          <w:color w:val="009999"/>
          <w:kern w:val="0"/>
          <w:sz w:val="36"/>
          <w:szCs w:val="36"/>
          <w:lang w:eastAsia="es-ES"/>
          <w14:ligatures w14:val="none"/>
        </w:rPr>
        <w:t>Financiación</w:t>
      </w:r>
    </w:p>
    <w:p w14:paraId="4E56F1E5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lastRenderedPageBreak/>
        <w:t>Según el artículo 51, De los recursos económicos de los Colegios, de los Estatutos vigentes del Colegio: Constituyen los recursos económicos de los Colegios:</w:t>
      </w:r>
    </w:p>
    <w:p w14:paraId="788ABBC6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a) Las cuotas periódicas, ordinarias o extraordinarias que señale cada Colegio a sus miembros.</w:t>
      </w:r>
    </w:p>
    <w:p w14:paraId="7D52961C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b) La cuota de colegiación que pudiera establecer el Colegio.</w:t>
      </w:r>
    </w:p>
    <w:p w14:paraId="6455A1B0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c) Los frutos, rentas e intereses de toda clase que produzcan los bienes o derechos que integren el patrimonio del Colegio.</w:t>
      </w:r>
    </w:p>
    <w:p w14:paraId="4428BDF8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d) Los derechos por visado de proyectos y demás servicios que tengan establecidos los Colegios.</w:t>
      </w:r>
    </w:p>
    <w:p w14:paraId="6A0CB58C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e) Los ingresos que se obtuvieran por publicaciones que realicen, por matrículas de cursos que puedan organizar, por prestación de servicios a sus colegiados y otros conceptos análogos.</w:t>
      </w:r>
    </w:p>
    <w:p w14:paraId="049DAFA1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f) Las subvenciones, donativos, herencias o legados que se otorguen por el Estado, corporaciones oficiales, entidades públicas o privadas y particulares.</w:t>
      </w:r>
    </w:p>
    <w:p w14:paraId="306758F4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g) Las cantidades que por cualquier otro concepto no especificado puedan percibir los Colegios.</w:t>
      </w:r>
    </w:p>
    <w:p w14:paraId="07CC5B97" w14:textId="77777777" w:rsidR="00E71059" w:rsidRPr="00E71059" w:rsidRDefault="00E71059" w:rsidP="00E71059">
      <w:pPr>
        <w:shd w:val="clear" w:color="auto" w:fill="FFFFFF"/>
        <w:spacing w:after="36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Descarga en formato (</w:t>
      </w:r>
      <w:hyperlink r:id="rId16" w:history="1">
        <w:r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*.docx</w:t>
        </w:r>
      </w:hyperlink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) o (</w:t>
      </w:r>
      <w:hyperlink r:id="rId17" w:history="1">
        <w:r w:rsidRPr="00E71059">
          <w:rPr>
            <w:rFonts w:ascii="Oxygen" w:eastAsia="Times New Roman" w:hAnsi="Oxygen" w:cs="Times New Roman"/>
            <w:color w:val="009999"/>
            <w:kern w:val="0"/>
            <w:sz w:val="26"/>
            <w:szCs w:val="26"/>
            <w:u w:val="single"/>
            <w:lang w:eastAsia="es-ES"/>
            <w14:ligatures w14:val="none"/>
          </w:rPr>
          <w:t>*.odt</w:t>
        </w:r>
      </w:hyperlink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).</w:t>
      </w:r>
    </w:p>
    <w:p w14:paraId="45E26641" w14:textId="77777777" w:rsidR="00E71059" w:rsidRPr="00E71059" w:rsidRDefault="00E71059" w:rsidP="00E71059">
      <w:p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</w:pPr>
      <w:r w:rsidRPr="00E71059">
        <w:rPr>
          <w:rFonts w:ascii="Oxygen" w:eastAsia="Times New Roman" w:hAnsi="Oxygen" w:cs="Times New Roman"/>
          <w:color w:val="555555"/>
          <w:kern w:val="0"/>
          <w:sz w:val="26"/>
          <w:szCs w:val="26"/>
          <w:lang w:eastAsia="es-ES"/>
          <w14:ligatures w14:val="none"/>
        </w:rPr>
        <w:t>Fecha de Actualización: lunes, 12 de febrero de 2024.</w:t>
      </w:r>
    </w:p>
    <w:p w14:paraId="41F01C07" w14:textId="77777777" w:rsidR="000435C9" w:rsidRDefault="000435C9"/>
    <w:sectPr w:rsidR="00043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9"/>
    <w:rsid w:val="000435C9"/>
    <w:rsid w:val="005A15AB"/>
    <w:rsid w:val="00793E64"/>
    <w:rsid w:val="007C1187"/>
    <w:rsid w:val="00A07112"/>
    <w:rsid w:val="00E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EBDF"/>
  <w15:chartTrackingRefBased/>
  <w15:docId w15:val="{9ED30524-BE8C-4541-9173-014EF46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E7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05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E71059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customStyle="1" w:styleId="gb-headline">
    <w:name w:val="gb-headline"/>
    <w:basedOn w:val="Normal"/>
    <w:rsid w:val="00E7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gb-headline-text">
    <w:name w:val="gb-headline-text"/>
    <w:basedOn w:val="Fuentedeprrafopredeter"/>
    <w:rsid w:val="00E71059"/>
  </w:style>
  <w:style w:type="character" w:styleId="Hipervnculo">
    <w:name w:val="Hyperlink"/>
    <w:basedOn w:val="Fuentedeprrafopredeter"/>
    <w:uiPriority w:val="99"/>
    <w:semiHidden/>
    <w:unhideWhenUsed/>
    <w:rsid w:val="00E710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1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equimcan.es/wp-content/uploads/2020/11/PRESUPUESTOS_2019.docx" TargetMode="External"/><Relationship Id="rId13" Type="http://schemas.openxmlformats.org/officeDocument/2006/relationships/hyperlink" Target="https://colequimcan.es/memorias-anual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lequimcan.es/wp-content/uploads/2020/11/PRESUPUESTOS_2020.docx" TargetMode="External"/><Relationship Id="rId12" Type="http://schemas.openxmlformats.org/officeDocument/2006/relationships/hyperlink" Target="https://colequimcan.es/wp-content/uploads/2020/11/Ingreso-y-gastos-2019.docx" TargetMode="External"/><Relationship Id="rId17" Type="http://schemas.openxmlformats.org/officeDocument/2006/relationships/hyperlink" Target="https://colequimcan.es/wp-content/uploads/2024/02/Informacion-institucional.od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lequimcan.es/wp-content/uploads/2024/02/Informacion-institucional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lequimcan.es/wp-content/uploads/2020/11/PRESUPUESTOS_2020.docx" TargetMode="External"/><Relationship Id="rId11" Type="http://schemas.openxmlformats.org/officeDocument/2006/relationships/hyperlink" Target="https://colequimcan.es/wp-content/uploads/2021/04/IG-2020.pdf" TargetMode="External"/><Relationship Id="rId5" Type="http://schemas.openxmlformats.org/officeDocument/2006/relationships/hyperlink" Target="https://colequimcan.es/wp-content/uploads/2022/06/PRESUPUESTOS-2022.xlsx" TargetMode="External"/><Relationship Id="rId15" Type="http://schemas.openxmlformats.org/officeDocument/2006/relationships/hyperlink" Target="https://www.boe.es/eli/es/rdlg/2010/07/02/1/con" TargetMode="External"/><Relationship Id="rId10" Type="http://schemas.openxmlformats.org/officeDocument/2006/relationships/hyperlink" Target="https://colequimcan.es/wp-content/uploads/2022/06/Adenda-IG-Col-2021.xls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lequimcan.es/wp-content/uploads/2023/10/PRESUPUESTOS-2023-1.xlsx" TargetMode="External"/><Relationship Id="rId9" Type="http://schemas.openxmlformats.org/officeDocument/2006/relationships/hyperlink" Target="https://colequimcan.es/wp-content/uploads/2023/10/IG-Col-2022.xlsx" TargetMode="External"/><Relationship Id="rId14" Type="http://schemas.openxmlformats.org/officeDocument/2006/relationships/hyperlink" Target="https://www.boe.es/buscar/act.php?id=BOE-A-1974-2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Sanchez</dc:creator>
  <cp:keywords/>
  <dc:description/>
  <cp:lastModifiedBy>Candelaria Sanchez</cp:lastModifiedBy>
  <cp:revision>2</cp:revision>
  <dcterms:created xsi:type="dcterms:W3CDTF">2024-02-12T12:23:00Z</dcterms:created>
  <dcterms:modified xsi:type="dcterms:W3CDTF">2024-02-12T13:02:00Z</dcterms:modified>
</cp:coreProperties>
</file>