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BCBF" w14:textId="77777777" w:rsidR="00BF2745" w:rsidRDefault="00BF2745" w:rsidP="00BF2745">
      <w:pPr>
        <w:pStyle w:val="Ttulo1"/>
        <w:spacing w:before="0" w:beforeAutospacing="0" w:after="0" w:afterAutospacing="0" w:line="336" w:lineRule="atLeast"/>
        <w:rPr>
          <w:rFonts w:ascii="inherit" w:hAnsi="inherit"/>
          <w:b w:val="0"/>
          <w:bCs w:val="0"/>
          <w:color w:val="009999"/>
          <w:sz w:val="63"/>
          <w:szCs w:val="63"/>
        </w:rPr>
      </w:pPr>
      <w:r>
        <w:rPr>
          <w:rFonts w:ascii="inherit" w:hAnsi="inherit"/>
          <w:b w:val="0"/>
          <w:bCs w:val="0"/>
          <w:color w:val="009999"/>
          <w:sz w:val="63"/>
          <w:szCs w:val="63"/>
        </w:rPr>
        <w:t>Servicios y procedimientos</w:t>
      </w:r>
    </w:p>
    <w:p w14:paraId="76FBB124" w14:textId="77777777" w:rsidR="00BF2745" w:rsidRDefault="00BF2745" w:rsidP="00BF2745">
      <w:pPr>
        <w:pStyle w:val="Ttulo3"/>
        <w:shd w:val="clear" w:color="auto" w:fill="FFFFFF"/>
        <w:spacing w:before="0" w:beforeAutospacing="0" w:after="300" w:afterAutospacing="0" w:line="336" w:lineRule="atLeast"/>
        <w:rPr>
          <w:rFonts w:ascii="inherit" w:hAnsi="inherit"/>
          <w:b w:val="0"/>
          <w:bCs w:val="0"/>
          <w:color w:val="009999"/>
          <w:sz w:val="36"/>
          <w:szCs w:val="36"/>
        </w:rPr>
      </w:pPr>
      <w:r>
        <w:rPr>
          <w:rFonts w:ascii="inherit" w:hAnsi="inherit"/>
          <w:b w:val="0"/>
          <w:bCs w:val="0"/>
          <w:color w:val="009999"/>
          <w:sz w:val="36"/>
          <w:szCs w:val="36"/>
        </w:rPr>
        <w:t>Registro de actividades de tratamiento de datos personales</w:t>
      </w:r>
    </w:p>
    <w:p w14:paraId="30C7B667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De acuerdo a la “Disposición final undécima. Modificación de la Ley 19/2013, de 9 de diciembre, de transparencia, acceso a la información pública y buen gobierno” de la Ley Orgánica 3/2018, de 5 de diciembre, de Protección de Datos Personales y garantía de los derechos digitales, se modifica la Ley 19/2013, de 9 de diciembre, de transparencia, acceso a la información pública y buen gobierno, en los siguientes términos:</w:t>
      </w:r>
    </w:p>
    <w:p w14:paraId="78AD5EDD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Style w:val="nfasis"/>
          <w:rFonts w:ascii="Oxygen" w:hAnsi="Oxygen"/>
          <w:color w:val="555555"/>
          <w:sz w:val="26"/>
          <w:szCs w:val="26"/>
        </w:rPr>
        <w:t>Uno. Se añade un nuevo artículo 6 bis, con la siguiente redacción:</w:t>
      </w:r>
    </w:p>
    <w:p w14:paraId="2E1D2F22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Style w:val="nfasis"/>
          <w:rFonts w:ascii="Oxygen" w:hAnsi="Oxygen"/>
          <w:color w:val="555555"/>
          <w:sz w:val="26"/>
          <w:szCs w:val="26"/>
        </w:rPr>
        <w:t>«Artículo 6 bis. Registro de actividades de tratamiento.</w:t>
      </w:r>
    </w:p>
    <w:p w14:paraId="30A60617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Style w:val="nfasis"/>
          <w:rFonts w:ascii="Oxygen" w:hAnsi="Oxygen"/>
          <w:color w:val="555555"/>
          <w:sz w:val="26"/>
          <w:szCs w:val="26"/>
        </w:rPr>
        <w:t>Los sujetos enumerados en el artículo 77.1 de la Ley Orgánica de Protección de Datos Personales y Garantía de los Derechos Digitales, publicarán su inventario de actividades de tratamiento en aplicación del artículo 31 de la citada Ley Orgánica.»</w:t>
      </w:r>
    </w:p>
    <w:p w14:paraId="6C4478EB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Para consultar la información detallada de las actividades de tratamiento puede acceder al </w:t>
      </w:r>
      <w:hyperlink r:id="rId5" w:tgtFrame="_blank" w:history="1">
        <w:r>
          <w:rPr>
            <w:rStyle w:val="Hipervnculo"/>
            <w:rFonts w:ascii="Oxygen" w:hAnsi="Oxygen"/>
            <w:color w:val="009999"/>
            <w:sz w:val="26"/>
            <w:szCs w:val="26"/>
          </w:rPr>
          <w:t>Informe Auditoría Protección de Datos</w:t>
        </w:r>
      </w:hyperlink>
      <w:r>
        <w:rPr>
          <w:rFonts w:ascii="Oxygen" w:hAnsi="Oxygen"/>
          <w:color w:val="555555"/>
          <w:sz w:val="26"/>
          <w:szCs w:val="26"/>
        </w:rPr>
        <w:t>.</w:t>
      </w:r>
    </w:p>
    <w:p w14:paraId="19DFC409" w14:textId="77777777" w:rsidR="00BF2745" w:rsidRDefault="00BF2745" w:rsidP="00BF2745">
      <w:pPr>
        <w:pStyle w:val="Ttulo3"/>
        <w:shd w:val="clear" w:color="auto" w:fill="FFFFFF"/>
        <w:spacing w:before="0" w:beforeAutospacing="0" w:after="300" w:afterAutospacing="0" w:line="336" w:lineRule="atLeast"/>
        <w:rPr>
          <w:rFonts w:ascii="inherit" w:hAnsi="inherit"/>
          <w:b w:val="0"/>
          <w:bCs w:val="0"/>
          <w:color w:val="009999"/>
          <w:sz w:val="36"/>
          <w:szCs w:val="36"/>
        </w:rPr>
      </w:pPr>
      <w:r>
        <w:rPr>
          <w:rFonts w:ascii="inherit" w:hAnsi="inherit"/>
          <w:b w:val="0"/>
          <w:bCs w:val="0"/>
          <w:color w:val="009999"/>
          <w:sz w:val="36"/>
          <w:szCs w:val="36"/>
        </w:rPr>
        <w:t>Servicios</w:t>
      </w:r>
    </w:p>
    <w:p w14:paraId="38706011" w14:textId="77777777" w:rsidR="00BF2745" w:rsidRDefault="00BF2745" w:rsidP="00BF2745">
      <w:pPr>
        <w:pStyle w:val="Ttulo5"/>
        <w:shd w:val="clear" w:color="auto" w:fill="FFFFFF"/>
        <w:spacing w:before="0" w:beforeAutospacing="0" w:after="300" w:afterAutospacing="0"/>
        <w:rPr>
          <w:rFonts w:ascii="inherit" w:hAnsi="inherit"/>
          <w:color w:val="074060"/>
          <w:sz w:val="30"/>
          <w:szCs w:val="30"/>
        </w:rPr>
      </w:pPr>
      <w:r>
        <w:rPr>
          <w:rFonts w:ascii="inherit" w:hAnsi="inherit"/>
          <w:color w:val="074060"/>
          <w:sz w:val="30"/>
          <w:szCs w:val="30"/>
        </w:rPr>
        <w:t>Ventanilla Única</w:t>
      </w:r>
    </w:p>
    <w:p w14:paraId="4A223B00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Se dispondrá de una página web, en la que se integrarán las ventanillas únicas del Consejo General, la de los Consejos autonómicos, y la del Colegio Oficial de Químicos de Canarias, para que, de conformidad con lo previsto en la Ley 17/2009, de 23 de noviembre, los profesionales de la profesión química puedan realizar todos los trámites necesarios para la colegiación, su ejercicio y su baja en el Colegio Oficial de Químicos de Canarias, a través de un único punto, por vía electrónica y a distancia. A través de esta ventanilla única, los profesionales de la profesión química podrán, de forma gratuita:</w:t>
      </w:r>
    </w:p>
    <w:p w14:paraId="1E3E4C23" w14:textId="77777777" w:rsidR="00BF2745" w:rsidRDefault="00BF2745" w:rsidP="00BF274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Obtener toda la información y formularios necesarios para el acceso a la actividad profesional y su ejercicio.</w:t>
      </w:r>
    </w:p>
    <w:p w14:paraId="56FBAC16" w14:textId="77777777" w:rsidR="00BF2745" w:rsidRDefault="00BF2745" w:rsidP="00BF274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lastRenderedPageBreak/>
        <w:t>Presentar toda la documentación y solicitudes necesarias, incluyendo la de la colegiación.</w:t>
      </w:r>
    </w:p>
    <w:p w14:paraId="1005ABE0" w14:textId="77777777" w:rsidR="00BF2745" w:rsidRDefault="00BF2745" w:rsidP="00BF274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Conocer el estado de tramitación de los procedimientos en los que tenga consideración de interesado y recibir la correspondiente notificación de los actos de trámite preceptivos y la resolución de los mismos por el Colegio, Consejo Autonómico, en su caso, y Consejo General, incluida la notificación de los expedientes disciplinarios cuando no fuera posible por otros medios.</w:t>
      </w:r>
    </w:p>
    <w:p w14:paraId="449F68B9" w14:textId="77777777" w:rsidR="00BF2745" w:rsidRDefault="00BF2745" w:rsidP="00BF274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Ser convocados a las Juntas Generales Ordinarias y Extraordinarias y tener conocimiento de la actividad pública y privada del Colegio.</w:t>
      </w:r>
    </w:p>
    <w:p w14:paraId="32814B76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A través de la referida ventanilla única, para la mejor defensa de los derechos de los consumidores y usuarios, se ofrecerá la siguiente información, que deberá ser clara, inequívoca y gratuita:</w:t>
      </w:r>
    </w:p>
    <w:p w14:paraId="2538C7EF" w14:textId="77777777" w:rsidR="00BF2745" w:rsidRDefault="00BF2745" w:rsidP="00BF274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El acceso a los registros de colegiados, que estará permanentemente actualizado y en el que constarán, al menos, los siguientes datos: nombre y apellidos de los profesionales colegiados, número de colegiación, títulos oficiales de los que estén en posesión, domicilio profesional y situación de habilitación profesional. </w:t>
      </w:r>
    </w:p>
    <w:p w14:paraId="0E5ADC0B" w14:textId="77777777" w:rsidR="00BF2745" w:rsidRDefault="00BF2745" w:rsidP="00BF274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El acceso a los registros de sociedades profesionales, que tendrá el contenido descrito en el artículo 8 de la Ley 2/2007, de 15 de marzo, de Sociedades Profesionales.</w:t>
      </w:r>
    </w:p>
    <w:p w14:paraId="4EB838A9" w14:textId="77777777" w:rsidR="00BF2745" w:rsidRDefault="00BF2745" w:rsidP="00BF274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Las vías de reclamación y los recursos que podrán interponerse en caso de conflicto entre el consumidor o usuario y un colegiado o el Colegio Oficial de Químicos de Canarias.</w:t>
      </w:r>
    </w:p>
    <w:p w14:paraId="0C627ABF" w14:textId="77777777" w:rsidR="00BF2745" w:rsidRDefault="00BF2745" w:rsidP="00BF274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Los datos de las asociaciones u organizaciones de consumidores y usuarios a las que los destinatarios de los servicios profesionales pueden dirigirse para obtener asistencia.</w:t>
      </w:r>
    </w:p>
    <w:p w14:paraId="390BB293" w14:textId="77777777" w:rsidR="00BF2745" w:rsidRDefault="00BF2745" w:rsidP="00BF2745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El contenido de los códigos deontológicos.</w:t>
      </w:r>
    </w:p>
    <w:p w14:paraId="10CE8C4B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El Colegio Oficial de Químicos de Canarias, los Consejos Autonómicos, en su caso, y el Consejo General de Colegios Oficiales de Químicos, deberán adoptar las medidas necesarias para el cumplimiento de lo previsto en este artículo e incorporar para ello las tecnologías precisas que garanticen la interoperabilidad entre los distintos sistemas y la accesibilidad de las personas con discapacidad.</w:t>
      </w:r>
    </w:p>
    <w:p w14:paraId="5EE8D962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lastRenderedPageBreak/>
        <w:t>Para ello podrán poner en marcha los mecanismos de coordinación y colaboración necesarios, inclusive con las corporaciones de otras profesiones.</w:t>
      </w:r>
    </w:p>
    <w:p w14:paraId="25E87106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El Colegio Oficial de Químicos de Canarias y los Consejos Autonómicos, en su caso, facilitarán al Consejo General de Colegios de Químicos de España, la información concerniente a las altas, bajas y cualesquiera otras modificaciones que afecten a los Registros de colegiados y de sociedades profesionales, para su conocimiento y anotación en los Registros centrales de colegiados y de sociedades del Consejo General.</w:t>
      </w:r>
    </w:p>
    <w:p w14:paraId="6144C6A6" w14:textId="77777777" w:rsidR="00BF2745" w:rsidRDefault="00BF2745" w:rsidP="00BF2745">
      <w:pPr>
        <w:pStyle w:val="Ttulo5"/>
        <w:shd w:val="clear" w:color="auto" w:fill="FFFFFF"/>
        <w:spacing w:before="0" w:beforeAutospacing="0" w:after="300" w:afterAutospacing="0"/>
        <w:rPr>
          <w:rFonts w:ascii="inherit" w:hAnsi="inherit"/>
          <w:color w:val="074060"/>
          <w:sz w:val="30"/>
          <w:szCs w:val="30"/>
        </w:rPr>
      </w:pPr>
      <w:r>
        <w:rPr>
          <w:rFonts w:ascii="inherit" w:hAnsi="inherit"/>
          <w:color w:val="074060"/>
          <w:sz w:val="30"/>
          <w:szCs w:val="30"/>
        </w:rPr>
        <w:t>Portal de Visados</w:t>
      </w:r>
    </w:p>
    <w:p w14:paraId="2685B57C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Procedimiento del sistema de visado telemático, de trabajos profesionales para los Colegiados Ejercientes.</w:t>
      </w:r>
    </w:p>
    <w:p w14:paraId="72900E17" w14:textId="77777777" w:rsidR="00BF2745" w:rsidRDefault="00BF2745" w:rsidP="00BF2745">
      <w:pPr>
        <w:pStyle w:val="Ttulo5"/>
        <w:shd w:val="clear" w:color="auto" w:fill="FFFFFF"/>
        <w:spacing w:before="0" w:beforeAutospacing="0" w:after="300" w:afterAutospacing="0"/>
        <w:rPr>
          <w:rFonts w:ascii="inherit" w:hAnsi="inherit"/>
          <w:color w:val="074060"/>
          <w:sz w:val="30"/>
          <w:szCs w:val="30"/>
        </w:rPr>
      </w:pPr>
      <w:r>
        <w:rPr>
          <w:rFonts w:ascii="inherit" w:hAnsi="inherit"/>
          <w:color w:val="074060"/>
          <w:sz w:val="30"/>
          <w:szCs w:val="30"/>
        </w:rPr>
        <w:t>Servicio de atención a los colegiados y a los consumidores y usuarios.</w:t>
      </w:r>
    </w:p>
    <w:p w14:paraId="1B798377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El Colegio Oficial de Químicos de Canarias deberá atender las quejas o reclamaciones presentadas por los colegiados.</w:t>
      </w:r>
    </w:p>
    <w:p w14:paraId="1FB5307E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Asimismo, el Colegio dispondrá de un servicio de atención a los consumidores o usuarios, que necesariamente tramitará y resolverá cuantas quejas y reclamaciones referidas a la actividad colegial o profesional de los colegiados se presenten por cualquier consumidor o usuario que contrate los servicios profesionales, así como por asociaciones y organizaciones de consumidores y usuarios en su representación o en defensa de sus intereses.</w:t>
      </w:r>
    </w:p>
    <w:p w14:paraId="05121776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El Colegio Oficial de Químicos de Canarias, a través de este servicio de atención a los consumidores o usuarios, resolverá sobre la queja o reclamación según proceda: bien informando sobre el sistema extrajudicial de resolución de conflictos, bien remitiendo el expediente a los órganos colegiales competentes para instruir los oportunos expedientes informativos o disciplinarios, bien archivando o bien adoptando cualquier otra decisión conforme a Derecho.</w:t>
      </w:r>
    </w:p>
    <w:p w14:paraId="221ABA7F" w14:textId="77777777" w:rsidR="00BF2745" w:rsidRDefault="00BF2745" w:rsidP="00BF2745">
      <w:pPr>
        <w:pStyle w:val="NormalWeb"/>
        <w:shd w:val="clear" w:color="auto" w:fill="FFFFFF"/>
        <w:spacing w:before="0" w:beforeAutospacing="0" w:after="360" w:afterAutospacing="0"/>
        <w:rPr>
          <w:rFonts w:ascii="Oxygen" w:hAnsi="Oxygen"/>
          <w:color w:val="555555"/>
          <w:sz w:val="26"/>
          <w:szCs w:val="26"/>
        </w:rPr>
      </w:pPr>
      <w:r>
        <w:rPr>
          <w:rFonts w:ascii="Oxygen" w:hAnsi="Oxygen"/>
          <w:color w:val="555555"/>
          <w:sz w:val="26"/>
          <w:szCs w:val="26"/>
        </w:rPr>
        <w:t>La regulación de este servicio deberá prever la presentación de quejas y reclamaciones por vía electrónica y a distancia.</w:t>
      </w:r>
    </w:p>
    <w:p w14:paraId="2BA2521C" w14:textId="77777777" w:rsidR="000435C9" w:rsidRDefault="000435C9"/>
    <w:sectPr w:rsidR="00043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68E"/>
    <w:multiLevelType w:val="multilevel"/>
    <w:tmpl w:val="8EC2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36AEB"/>
    <w:multiLevelType w:val="multilevel"/>
    <w:tmpl w:val="0B76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17158"/>
    <w:multiLevelType w:val="multilevel"/>
    <w:tmpl w:val="322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6C7E8D"/>
    <w:multiLevelType w:val="multilevel"/>
    <w:tmpl w:val="8A8C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45"/>
    <w:rsid w:val="000435C9"/>
    <w:rsid w:val="00793E64"/>
    <w:rsid w:val="007C1187"/>
    <w:rsid w:val="00A07112"/>
    <w:rsid w:val="00B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347B"/>
  <w15:chartTrackingRefBased/>
  <w15:docId w15:val="{5EF775F2-2DCA-4CDC-B184-D65E3888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2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F2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BF27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27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274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F274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F274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F274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F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F27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1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0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equimcan.es/wp-content/uploads/2021/07/2105281303-D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 Sanchez</dc:creator>
  <cp:keywords/>
  <dc:description/>
  <cp:lastModifiedBy>Candelaria Sanchez</cp:lastModifiedBy>
  <cp:revision>1</cp:revision>
  <dcterms:created xsi:type="dcterms:W3CDTF">2021-10-14T13:03:00Z</dcterms:created>
  <dcterms:modified xsi:type="dcterms:W3CDTF">2021-10-14T13:04:00Z</dcterms:modified>
</cp:coreProperties>
</file>