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B7" w:rsidRPr="00887856" w:rsidRDefault="00887856" w:rsidP="00887856">
      <w:pPr>
        <w:jc w:val="center"/>
        <w:rPr>
          <w:b/>
          <w:u w:val="single"/>
        </w:rPr>
      </w:pPr>
      <w:r w:rsidRPr="00887856">
        <w:rPr>
          <w:b/>
          <w:u w:val="single"/>
        </w:rPr>
        <w:t>PRESUPUESTO DEL COLEGIO OFICIAL DE QUÍMICOS DE CANARIAS PARA EL AÑO 2019</w:t>
      </w:r>
    </w:p>
    <w:p w:rsidR="00887856" w:rsidRDefault="00887856" w:rsidP="003F6603"/>
    <w:tbl>
      <w:tblPr>
        <w:tblStyle w:val="Tablaconcuadrcula"/>
        <w:tblW w:w="0" w:type="auto"/>
        <w:jc w:val="center"/>
        <w:tblLook w:val="04A0" w:firstRow="1" w:lastRow="0" w:firstColumn="1" w:lastColumn="0" w:noHBand="0" w:noVBand="1"/>
      </w:tblPr>
      <w:tblGrid>
        <w:gridCol w:w="5524"/>
        <w:gridCol w:w="1996"/>
      </w:tblGrid>
      <w:tr w:rsidR="00887856" w:rsidRPr="00887856" w:rsidTr="00887856">
        <w:trPr>
          <w:trHeight w:val="300"/>
          <w:jc w:val="center"/>
        </w:trPr>
        <w:tc>
          <w:tcPr>
            <w:tcW w:w="5524" w:type="dxa"/>
            <w:shd w:val="clear" w:color="auto" w:fill="D0CECE" w:themeFill="background2" w:themeFillShade="E6"/>
            <w:noWrap/>
            <w:hideMark/>
          </w:tcPr>
          <w:p w:rsidR="00887856" w:rsidRPr="00887856" w:rsidRDefault="00887856" w:rsidP="00887856">
            <w:pPr>
              <w:jc w:val="center"/>
              <w:rPr>
                <w:b/>
                <w:bCs/>
              </w:rPr>
            </w:pPr>
            <w:r w:rsidRPr="00887856">
              <w:rPr>
                <w:b/>
                <w:bCs/>
              </w:rPr>
              <w:t>GASTOS</w:t>
            </w:r>
          </w:p>
        </w:tc>
        <w:tc>
          <w:tcPr>
            <w:tcW w:w="1996" w:type="dxa"/>
            <w:shd w:val="clear" w:color="auto" w:fill="D0CECE" w:themeFill="background2" w:themeFillShade="E6"/>
            <w:noWrap/>
            <w:hideMark/>
          </w:tcPr>
          <w:p w:rsidR="00887856" w:rsidRPr="00887856" w:rsidRDefault="00887856" w:rsidP="00887856">
            <w:pPr>
              <w:jc w:val="center"/>
              <w:rPr>
                <w:b/>
                <w:bCs/>
              </w:rPr>
            </w:pPr>
            <w:r w:rsidRPr="00887856">
              <w:rPr>
                <w:b/>
                <w:bCs/>
              </w:rPr>
              <w:t>Previsto 2019 (€)</w:t>
            </w:r>
          </w:p>
        </w:tc>
      </w:tr>
      <w:tr w:rsidR="00887856" w:rsidRPr="00887856" w:rsidTr="00887856">
        <w:trPr>
          <w:trHeight w:val="300"/>
          <w:jc w:val="center"/>
        </w:trPr>
        <w:tc>
          <w:tcPr>
            <w:tcW w:w="7520" w:type="dxa"/>
            <w:gridSpan w:val="2"/>
            <w:shd w:val="clear" w:color="auto" w:fill="FBE4D5" w:themeFill="accent2" w:themeFillTint="33"/>
            <w:noWrap/>
            <w:hideMark/>
          </w:tcPr>
          <w:p w:rsidR="005862B4" w:rsidRPr="00887856" w:rsidRDefault="00887856" w:rsidP="005862B4">
            <w:pPr>
              <w:jc w:val="center"/>
              <w:rPr>
                <w:b/>
                <w:bCs/>
              </w:rPr>
            </w:pPr>
            <w:r w:rsidRPr="00887856">
              <w:rPr>
                <w:b/>
                <w:bCs/>
              </w:rPr>
              <w:t>CAP I SEDE Y SUMINISTROS</w:t>
            </w:r>
            <w:r w:rsidR="005862B4">
              <w:rPr>
                <w:b/>
                <w:bCs/>
              </w:rPr>
              <w:t xml:space="preserve"> (19,55 %)</w:t>
            </w:r>
          </w:p>
        </w:tc>
      </w:tr>
      <w:tr w:rsidR="00887856" w:rsidRPr="00887856" w:rsidTr="00887856">
        <w:trPr>
          <w:trHeight w:val="300"/>
          <w:jc w:val="center"/>
        </w:trPr>
        <w:tc>
          <w:tcPr>
            <w:tcW w:w="5524" w:type="dxa"/>
            <w:noWrap/>
            <w:hideMark/>
          </w:tcPr>
          <w:p w:rsidR="00887856" w:rsidRPr="00887856" w:rsidRDefault="00887856">
            <w:r w:rsidRPr="00887856">
              <w:t>Comunidad Castro</w:t>
            </w:r>
          </w:p>
        </w:tc>
        <w:tc>
          <w:tcPr>
            <w:tcW w:w="1996" w:type="dxa"/>
            <w:noWrap/>
            <w:hideMark/>
          </w:tcPr>
          <w:p w:rsidR="00887856" w:rsidRPr="00887856" w:rsidRDefault="00887856" w:rsidP="00887856">
            <w:pPr>
              <w:jc w:val="right"/>
            </w:pPr>
            <w:r w:rsidRPr="00887856">
              <w:t>600</w:t>
            </w:r>
          </w:p>
        </w:tc>
      </w:tr>
      <w:tr w:rsidR="00887856" w:rsidRPr="00887856" w:rsidTr="00887856">
        <w:trPr>
          <w:trHeight w:val="300"/>
          <w:jc w:val="center"/>
        </w:trPr>
        <w:tc>
          <w:tcPr>
            <w:tcW w:w="5524" w:type="dxa"/>
            <w:noWrap/>
            <w:hideMark/>
          </w:tcPr>
          <w:p w:rsidR="00887856" w:rsidRPr="00887856" w:rsidRDefault="00887856">
            <w:r w:rsidRPr="00887856">
              <w:t>Seguro Sede AXA</w:t>
            </w:r>
          </w:p>
        </w:tc>
        <w:tc>
          <w:tcPr>
            <w:tcW w:w="1996" w:type="dxa"/>
            <w:noWrap/>
            <w:hideMark/>
          </w:tcPr>
          <w:p w:rsidR="00887856" w:rsidRPr="00887856" w:rsidRDefault="00887856" w:rsidP="00887856">
            <w:pPr>
              <w:jc w:val="right"/>
            </w:pPr>
            <w:r w:rsidRPr="00887856">
              <w:t>256</w:t>
            </w:r>
          </w:p>
        </w:tc>
      </w:tr>
      <w:tr w:rsidR="00887856" w:rsidRPr="00887856" w:rsidTr="00887856">
        <w:trPr>
          <w:trHeight w:val="300"/>
          <w:jc w:val="center"/>
        </w:trPr>
        <w:tc>
          <w:tcPr>
            <w:tcW w:w="5524" w:type="dxa"/>
            <w:noWrap/>
            <w:hideMark/>
          </w:tcPr>
          <w:p w:rsidR="00887856" w:rsidRPr="00887856" w:rsidRDefault="00887856">
            <w:r w:rsidRPr="00887856">
              <w:t xml:space="preserve">Extintor </w:t>
            </w:r>
            <w:proofErr w:type="spellStart"/>
            <w:r w:rsidRPr="00887856">
              <w:t>Drexmin</w:t>
            </w:r>
            <w:proofErr w:type="spellEnd"/>
          </w:p>
        </w:tc>
        <w:tc>
          <w:tcPr>
            <w:tcW w:w="1996" w:type="dxa"/>
            <w:noWrap/>
            <w:hideMark/>
          </w:tcPr>
          <w:p w:rsidR="00887856" w:rsidRPr="00887856" w:rsidRDefault="00887856" w:rsidP="00887856">
            <w:pPr>
              <w:jc w:val="right"/>
            </w:pPr>
            <w:r w:rsidRPr="00887856">
              <w:t>15</w:t>
            </w:r>
          </w:p>
        </w:tc>
      </w:tr>
      <w:tr w:rsidR="00887856" w:rsidRPr="00887856" w:rsidTr="00887856">
        <w:trPr>
          <w:trHeight w:val="300"/>
          <w:jc w:val="center"/>
        </w:trPr>
        <w:tc>
          <w:tcPr>
            <w:tcW w:w="5524" w:type="dxa"/>
            <w:noWrap/>
            <w:hideMark/>
          </w:tcPr>
          <w:p w:rsidR="00887856" w:rsidRPr="00887856" w:rsidRDefault="00887856">
            <w:r w:rsidRPr="00887856">
              <w:t xml:space="preserve">Copistería </w:t>
            </w:r>
            <w:proofErr w:type="spellStart"/>
            <w:r w:rsidRPr="00887856">
              <w:t>Copycolor</w:t>
            </w:r>
            <w:proofErr w:type="spellEnd"/>
          </w:p>
        </w:tc>
        <w:tc>
          <w:tcPr>
            <w:tcW w:w="1996" w:type="dxa"/>
            <w:noWrap/>
            <w:hideMark/>
          </w:tcPr>
          <w:p w:rsidR="00887856" w:rsidRPr="00887856" w:rsidRDefault="00887856" w:rsidP="00887856">
            <w:pPr>
              <w:jc w:val="right"/>
            </w:pPr>
            <w:r w:rsidRPr="00887856">
              <w:t>25</w:t>
            </w:r>
          </w:p>
        </w:tc>
      </w:tr>
      <w:tr w:rsidR="00887856" w:rsidRPr="00887856" w:rsidTr="00887856">
        <w:trPr>
          <w:trHeight w:val="300"/>
          <w:jc w:val="center"/>
        </w:trPr>
        <w:tc>
          <w:tcPr>
            <w:tcW w:w="5524" w:type="dxa"/>
            <w:noWrap/>
            <w:hideMark/>
          </w:tcPr>
          <w:p w:rsidR="00887856" w:rsidRPr="00887856" w:rsidRDefault="00887856">
            <w:r w:rsidRPr="00887856">
              <w:t>Web 1&amp;1 Dominio</w:t>
            </w:r>
          </w:p>
        </w:tc>
        <w:tc>
          <w:tcPr>
            <w:tcW w:w="1996" w:type="dxa"/>
            <w:noWrap/>
            <w:hideMark/>
          </w:tcPr>
          <w:p w:rsidR="00887856" w:rsidRPr="00887856" w:rsidRDefault="00887856" w:rsidP="00887856">
            <w:pPr>
              <w:jc w:val="right"/>
            </w:pPr>
            <w:r w:rsidRPr="00887856">
              <w:t>20</w:t>
            </w:r>
          </w:p>
        </w:tc>
      </w:tr>
      <w:tr w:rsidR="00887856" w:rsidRPr="00887856" w:rsidTr="00887856">
        <w:trPr>
          <w:trHeight w:val="300"/>
          <w:jc w:val="center"/>
        </w:trPr>
        <w:tc>
          <w:tcPr>
            <w:tcW w:w="5524" w:type="dxa"/>
            <w:noWrap/>
            <w:hideMark/>
          </w:tcPr>
          <w:p w:rsidR="00887856" w:rsidRPr="00887856" w:rsidRDefault="00887856">
            <w:r w:rsidRPr="00887856">
              <w:t>Web 1&amp;1 Alojamiento</w:t>
            </w:r>
          </w:p>
        </w:tc>
        <w:tc>
          <w:tcPr>
            <w:tcW w:w="1996" w:type="dxa"/>
            <w:noWrap/>
            <w:hideMark/>
          </w:tcPr>
          <w:p w:rsidR="00887856" w:rsidRPr="00887856" w:rsidRDefault="00887856" w:rsidP="00887856">
            <w:pPr>
              <w:jc w:val="right"/>
            </w:pPr>
            <w:r w:rsidRPr="00887856">
              <w:t>120</w:t>
            </w:r>
          </w:p>
        </w:tc>
      </w:tr>
      <w:tr w:rsidR="00887856" w:rsidRPr="00887856" w:rsidTr="00887856">
        <w:trPr>
          <w:trHeight w:val="300"/>
          <w:jc w:val="center"/>
        </w:trPr>
        <w:tc>
          <w:tcPr>
            <w:tcW w:w="5524" w:type="dxa"/>
            <w:noWrap/>
            <w:hideMark/>
          </w:tcPr>
          <w:p w:rsidR="00887856" w:rsidRPr="00887856" w:rsidRDefault="00887856">
            <w:proofErr w:type="spellStart"/>
            <w:r w:rsidRPr="00887856">
              <w:t>Telef+Internet</w:t>
            </w:r>
            <w:proofErr w:type="spellEnd"/>
            <w:r w:rsidRPr="00887856">
              <w:t xml:space="preserve"> Movistar</w:t>
            </w:r>
          </w:p>
        </w:tc>
        <w:tc>
          <w:tcPr>
            <w:tcW w:w="1996" w:type="dxa"/>
            <w:noWrap/>
            <w:hideMark/>
          </w:tcPr>
          <w:p w:rsidR="00887856" w:rsidRPr="00887856" w:rsidRDefault="00887856" w:rsidP="00887856">
            <w:pPr>
              <w:jc w:val="right"/>
            </w:pPr>
            <w:r w:rsidRPr="00887856">
              <w:t>850,08</w:t>
            </w:r>
          </w:p>
        </w:tc>
      </w:tr>
      <w:tr w:rsidR="00887856" w:rsidRPr="00887856" w:rsidTr="00887856">
        <w:trPr>
          <w:trHeight w:val="300"/>
          <w:jc w:val="center"/>
        </w:trPr>
        <w:tc>
          <w:tcPr>
            <w:tcW w:w="5524" w:type="dxa"/>
            <w:noWrap/>
            <w:hideMark/>
          </w:tcPr>
          <w:p w:rsidR="00887856" w:rsidRPr="00887856" w:rsidRDefault="00887856">
            <w:r w:rsidRPr="00887856">
              <w:t>Material Oficina</w:t>
            </w:r>
          </w:p>
        </w:tc>
        <w:tc>
          <w:tcPr>
            <w:tcW w:w="1996" w:type="dxa"/>
            <w:noWrap/>
            <w:hideMark/>
          </w:tcPr>
          <w:p w:rsidR="00887856" w:rsidRPr="00887856" w:rsidRDefault="00887856" w:rsidP="00887856">
            <w:pPr>
              <w:jc w:val="right"/>
            </w:pPr>
            <w:r w:rsidRPr="00887856">
              <w:t>150</w:t>
            </w:r>
          </w:p>
        </w:tc>
      </w:tr>
      <w:tr w:rsidR="00887856" w:rsidRPr="00887856" w:rsidTr="00887856">
        <w:trPr>
          <w:trHeight w:val="300"/>
          <w:jc w:val="center"/>
        </w:trPr>
        <w:tc>
          <w:tcPr>
            <w:tcW w:w="5524" w:type="dxa"/>
            <w:noWrap/>
            <w:hideMark/>
          </w:tcPr>
          <w:p w:rsidR="00887856" w:rsidRPr="00887856" w:rsidRDefault="00887856">
            <w:r w:rsidRPr="00887856">
              <w:t xml:space="preserve">Agua </w:t>
            </w:r>
            <w:proofErr w:type="spellStart"/>
            <w:r w:rsidRPr="00887856">
              <w:t>Emmasa</w:t>
            </w:r>
            <w:proofErr w:type="spellEnd"/>
          </w:p>
        </w:tc>
        <w:tc>
          <w:tcPr>
            <w:tcW w:w="1996" w:type="dxa"/>
            <w:noWrap/>
            <w:hideMark/>
          </w:tcPr>
          <w:p w:rsidR="00887856" w:rsidRPr="00887856" w:rsidRDefault="00887856" w:rsidP="00887856">
            <w:pPr>
              <w:jc w:val="right"/>
            </w:pPr>
            <w:r w:rsidRPr="00887856">
              <w:t>285</w:t>
            </w:r>
          </w:p>
        </w:tc>
      </w:tr>
      <w:tr w:rsidR="00887856" w:rsidRPr="00887856" w:rsidTr="00887856">
        <w:trPr>
          <w:trHeight w:val="300"/>
          <w:jc w:val="center"/>
        </w:trPr>
        <w:tc>
          <w:tcPr>
            <w:tcW w:w="5524" w:type="dxa"/>
            <w:noWrap/>
            <w:hideMark/>
          </w:tcPr>
          <w:p w:rsidR="00887856" w:rsidRPr="00887856" w:rsidRDefault="00887856">
            <w:r w:rsidRPr="00887856">
              <w:t>Luz Endesa</w:t>
            </w:r>
          </w:p>
        </w:tc>
        <w:tc>
          <w:tcPr>
            <w:tcW w:w="1996" w:type="dxa"/>
            <w:noWrap/>
            <w:hideMark/>
          </w:tcPr>
          <w:p w:rsidR="00887856" w:rsidRPr="00887856" w:rsidRDefault="00887856" w:rsidP="00887856">
            <w:pPr>
              <w:jc w:val="right"/>
            </w:pPr>
            <w:r w:rsidRPr="00887856">
              <w:t>242</w:t>
            </w:r>
          </w:p>
        </w:tc>
      </w:tr>
      <w:tr w:rsidR="00887856" w:rsidRPr="00887856" w:rsidTr="00887856">
        <w:trPr>
          <w:trHeight w:val="300"/>
          <w:jc w:val="center"/>
        </w:trPr>
        <w:tc>
          <w:tcPr>
            <w:tcW w:w="5524" w:type="dxa"/>
            <w:noWrap/>
            <w:hideMark/>
          </w:tcPr>
          <w:p w:rsidR="00887856" w:rsidRPr="00887856" w:rsidRDefault="00887856">
            <w:r w:rsidRPr="00887856">
              <w:t>Canarias Blue Tarjetas Colegiados</w:t>
            </w:r>
          </w:p>
        </w:tc>
        <w:tc>
          <w:tcPr>
            <w:tcW w:w="1996" w:type="dxa"/>
            <w:noWrap/>
            <w:hideMark/>
          </w:tcPr>
          <w:p w:rsidR="00887856" w:rsidRPr="00887856" w:rsidRDefault="00887856" w:rsidP="00887856">
            <w:pPr>
              <w:jc w:val="right"/>
            </w:pPr>
            <w:r w:rsidRPr="00887856">
              <w:t>25</w:t>
            </w:r>
          </w:p>
        </w:tc>
      </w:tr>
      <w:tr w:rsidR="00887856" w:rsidRPr="00887856" w:rsidTr="00887856">
        <w:trPr>
          <w:trHeight w:val="300"/>
          <w:jc w:val="center"/>
        </w:trPr>
        <w:tc>
          <w:tcPr>
            <w:tcW w:w="5524" w:type="dxa"/>
            <w:shd w:val="clear" w:color="auto" w:fill="FBE4D5" w:themeFill="accent2" w:themeFillTint="33"/>
            <w:noWrap/>
            <w:hideMark/>
          </w:tcPr>
          <w:p w:rsidR="00887856" w:rsidRPr="00887856" w:rsidRDefault="00887856">
            <w:pPr>
              <w:rPr>
                <w:b/>
                <w:bCs/>
              </w:rPr>
            </w:pPr>
            <w:r w:rsidRPr="00887856">
              <w:rPr>
                <w:b/>
                <w:bCs/>
              </w:rPr>
              <w:t>SUBTOTAL CAP I</w:t>
            </w:r>
          </w:p>
        </w:tc>
        <w:tc>
          <w:tcPr>
            <w:tcW w:w="1996" w:type="dxa"/>
            <w:shd w:val="clear" w:color="auto" w:fill="FBE4D5" w:themeFill="accent2" w:themeFillTint="33"/>
            <w:noWrap/>
            <w:hideMark/>
          </w:tcPr>
          <w:p w:rsidR="00887856" w:rsidRPr="00887856" w:rsidRDefault="00887856" w:rsidP="00887856">
            <w:pPr>
              <w:jc w:val="center"/>
              <w:rPr>
                <w:b/>
                <w:bCs/>
              </w:rPr>
            </w:pPr>
            <w:r w:rsidRPr="00887856">
              <w:rPr>
                <w:b/>
                <w:bCs/>
              </w:rPr>
              <w:t>2</w:t>
            </w:r>
            <w:r w:rsidR="00AE0727">
              <w:rPr>
                <w:b/>
                <w:bCs/>
              </w:rPr>
              <w:t>.</w:t>
            </w:r>
            <w:r w:rsidRPr="00887856">
              <w:rPr>
                <w:b/>
                <w:bCs/>
              </w:rPr>
              <w:t>588,08</w:t>
            </w:r>
          </w:p>
        </w:tc>
      </w:tr>
      <w:tr w:rsidR="00887856" w:rsidRPr="00887856" w:rsidTr="008A2358">
        <w:trPr>
          <w:trHeight w:val="300"/>
          <w:jc w:val="center"/>
        </w:trPr>
        <w:tc>
          <w:tcPr>
            <w:tcW w:w="7520" w:type="dxa"/>
            <w:gridSpan w:val="2"/>
            <w:shd w:val="clear" w:color="auto" w:fill="FBE4D5" w:themeFill="accent2" w:themeFillTint="33"/>
            <w:noWrap/>
            <w:hideMark/>
          </w:tcPr>
          <w:p w:rsidR="00887856" w:rsidRPr="00887856" w:rsidRDefault="00887856" w:rsidP="00887856">
            <w:pPr>
              <w:jc w:val="center"/>
              <w:rPr>
                <w:b/>
                <w:bCs/>
              </w:rPr>
            </w:pPr>
            <w:r w:rsidRPr="00887856">
              <w:rPr>
                <w:b/>
                <w:bCs/>
              </w:rPr>
              <w:t>CAP II PERSONAL</w:t>
            </w:r>
            <w:r w:rsidR="005862B4">
              <w:rPr>
                <w:b/>
                <w:bCs/>
              </w:rPr>
              <w:t xml:space="preserve"> (29,1%)</w:t>
            </w:r>
          </w:p>
        </w:tc>
      </w:tr>
      <w:tr w:rsidR="00887856" w:rsidRPr="00887856" w:rsidTr="00887856">
        <w:trPr>
          <w:trHeight w:val="300"/>
          <w:jc w:val="center"/>
        </w:trPr>
        <w:tc>
          <w:tcPr>
            <w:tcW w:w="5524" w:type="dxa"/>
            <w:noWrap/>
            <w:hideMark/>
          </w:tcPr>
          <w:p w:rsidR="00887856" w:rsidRPr="00887856" w:rsidRDefault="00887856">
            <w:r w:rsidRPr="00887856">
              <w:t>Honorarios Gerente</w:t>
            </w:r>
          </w:p>
        </w:tc>
        <w:tc>
          <w:tcPr>
            <w:tcW w:w="1996" w:type="dxa"/>
            <w:noWrap/>
            <w:hideMark/>
          </w:tcPr>
          <w:p w:rsidR="00887856" w:rsidRPr="00887856" w:rsidRDefault="00887856" w:rsidP="00EA2B02">
            <w:pPr>
              <w:jc w:val="right"/>
            </w:pPr>
            <w:r w:rsidRPr="00887856">
              <w:t>3852</w:t>
            </w:r>
          </w:p>
        </w:tc>
      </w:tr>
      <w:tr w:rsidR="00887856" w:rsidRPr="00887856" w:rsidTr="00EA2B02">
        <w:trPr>
          <w:trHeight w:val="300"/>
          <w:jc w:val="center"/>
        </w:trPr>
        <w:tc>
          <w:tcPr>
            <w:tcW w:w="5524" w:type="dxa"/>
            <w:shd w:val="clear" w:color="auto" w:fill="FBE4D5" w:themeFill="accent2" w:themeFillTint="33"/>
            <w:noWrap/>
            <w:hideMark/>
          </w:tcPr>
          <w:p w:rsidR="00887856" w:rsidRPr="00887856" w:rsidRDefault="00887856" w:rsidP="00EA2B02">
            <w:pPr>
              <w:rPr>
                <w:b/>
                <w:bCs/>
              </w:rPr>
            </w:pPr>
            <w:r w:rsidRPr="00887856">
              <w:rPr>
                <w:b/>
                <w:bCs/>
              </w:rPr>
              <w:t>SUBTOTAL CAP II</w:t>
            </w:r>
          </w:p>
        </w:tc>
        <w:tc>
          <w:tcPr>
            <w:tcW w:w="1996" w:type="dxa"/>
            <w:shd w:val="clear" w:color="auto" w:fill="FBE4D5" w:themeFill="accent2" w:themeFillTint="33"/>
            <w:noWrap/>
            <w:hideMark/>
          </w:tcPr>
          <w:p w:rsidR="00887856" w:rsidRPr="00887856" w:rsidRDefault="00887856" w:rsidP="00EA2B02">
            <w:pPr>
              <w:jc w:val="center"/>
              <w:rPr>
                <w:b/>
                <w:bCs/>
              </w:rPr>
            </w:pPr>
            <w:r w:rsidRPr="00887856">
              <w:rPr>
                <w:b/>
                <w:bCs/>
              </w:rPr>
              <w:t>3</w:t>
            </w:r>
            <w:r w:rsidR="00AE0727">
              <w:rPr>
                <w:b/>
                <w:bCs/>
              </w:rPr>
              <w:t>.</w:t>
            </w:r>
            <w:r w:rsidRPr="00887856">
              <w:rPr>
                <w:b/>
                <w:bCs/>
              </w:rPr>
              <w:t>852</w:t>
            </w:r>
          </w:p>
        </w:tc>
      </w:tr>
      <w:tr w:rsidR="00EA2B02" w:rsidRPr="00887856" w:rsidTr="00B8686C">
        <w:trPr>
          <w:trHeight w:val="300"/>
          <w:jc w:val="center"/>
        </w:trPr>
        <w:tc>
          <w:tcPr>
            <w:tcW w:w="7520" w:type="dxa"/>
            <w:gridSpan w:val="2"/>
            <w:shd w:val="clear" w:color="auto" w:fill="FBE4D5" w:themeFill="accent2" w:themeFillTint="33"/>
            <w:noWrap/>
            <w:hideMark/>
          </w:tcPr>
          <w:p w:rsidR="00EA2B02" w:rsidRPr="00887856" w:rsidRDefault="00EA2B02" w:rsidP="00EA2B02">
            <w:pPr>
              <w:jc w:val="center"/>
              <w:rPr>
                <w:b/>
                <w:bCs/>
              </w:rPr>
            </w:pPr>
            <w:r w:rsidRPr="00887856">
              <w:rPr>
                <w:b/>
                <w:bCs/>
              </w:rPr>
              <w:t>CAP III PROVEEDORES SERVICIOS</w:t>
            </w:r>
            <w:r w:rsidR="005862B4">
              <w:rPr>
                <w:b/>
                <w:bCs/>
              </w:rPr>
              <w:t xml:space="preserve"> Y ASESORES (7,1 %)</w:t>
            </w:r>
          </w:p>
        </w:tc>
      </w:tr>
      <w:tr w:rsidR="00887856" w:rsidRPr="00887856" w:rsidTr="00887856">
        <w:trPr>
          <w:trHeight w:val="300"/>
          <w:jc w:val="center"/>
        </w:trPr>
        <w:tc>
          <w:tcPr>
            <w:tcW w:w="5524" w:type="dxa"/>
            <w:noWrap/>
            <w:hideMark/>
          </w:tcPr>
          <w:p w:rsidR="00887856" w:rsidRPr="00887856" w:rsidRDefault="00887856">
            <w:proofErr w:type="spellStart"/>
            <w:r w:rsidRPr="00887856">
              <w:t>Serv</w:t>
            </w:r>
            <w:proofErr w:type="spellEnd"/>
            <w:r w:rsidRPr="00887856">
              <w:t>. Jurídicos Alonso y Díaz</w:t>
            </w:r>
          </w:p>
        </w:tc>
        <w:tc>
          <w:tcPr>
            <w:tcW w:w="1996" w:type="dxa"/>
            <w:noWrap/>
            <w:hideMark/>
          </w:tcPr>
          <w:p w:rsidR="00887856" w:rsidRPr="00887856" w:rsidRDefault="00887856" w:rsidP="00EA2B02">
            <w:pPr>
              <w:jc w:val="right"/>
            </w:pPr>
            <w:r w:rsidRPr="00887856">
              <w:t>400</w:t>
            </w:r>
          </w:p>
        </w:tc>
      </w:tr>
      <w:tr w:rsidR="00887856" w:rsidRPr="00887856" w:rsidTr="00887856">
        <w:trPr>
          <w:trHeight w:val="300"/>
          <w:jc w:val="center"/>
        </w:trPr>
        <w:tc>
          <w:tcPr>
            <w:tcW w:w="5524" w:type="dxa"/>
            <w:noWrap/>
            <w:hideMark/>
          </w:tcPr>
          <w:p w:rsidR="00887856" w:rsidRPr="00887856" w:rsidRDefault="00887856">
            <w:r w:rsidRPr="00887856">
              <w:t>LPD Aixa Corpore</w:t>
            </w:r>
          </w:p>
        </w:tc>
        <w:tc>
          <w:tcPr>
            <w:tcW w:w="1996" w:type="dxa"/>
            <w:noWrap/>
            <w:hideMark/>
          </w:tcPr>
          <w:p w:rsidR="00887856" w:rsidRPr="00887856" w:rsidRDefault="00887856" w:rsidP="00EA2B02">
            <w:pPr>
              <w:jc w:val="right"/>
            </w:pPr>
            <w:r w:rsidRPr="00887856">
              <w:t>219</w:t>
            </w:r>
          </w:p>
        </w:tc>
      </w:tr>
      <w:tr w:rsidR="00887856" w:rsidRPr="00887856" w:rsidTr="00887856">
        <w:trPr>
          <w:trHeight w:val="300"/>
          <w:jc w:val="center"/>
        </w:trPr>
        <w:tc>
          <w:tcPr>
            <w:tcW w:w="5524" w:type="dxa"/>
            <w:noWrap/>
            <w:hideMark/>
          </w:tcPr>
          <w:p w:rsidR="00887856" w:rsidRPr="00887856" w:rsidRDefault="00887856">
            <w:r w:rsidRPr="00887856">
              <w:t xml:space="preserve">Seguro RC Junta </w:t>
            </w:r>
            <w:proofErr w:type="spellStart"/>
            <w:r w:rsidRPr="00887856">
              <w:t>Dir</w:t>
            </w:r>
            <w:proofErr w:type="spellEnd"/>
            <w:r w:rsidRPr="00887856">
              <w:t xml:space="preserve"> y Gerente PSN</w:t>
            </w:r>
          </w:p>
        </w:tc>
        <w:tc>
          <w:tcPr>
            <w:tcW w:w="1996" w:type="dxa"/>
            <w:noWrap/>
            <w:hideMark/>
          </w:tcPr>
          <w:p w:rsidR="00887856" w:rsidRPr="00887856" w:rsidRDefault="00887856" w:rsidP="00EA2B02">
            <w:pPr>
              <w:jc w:val="right"/>
            </w:pPr>
            <w:r w:rsidRPr="00887856">
              <w:t>318,45</w:t>
            </w:r>
          </w:p>
        </w:tc>
      </w:tr>
      <w:tr w:rsidR="00887856" w:rsidRPr="00887856" w:rsidTr="00EA2B02">
        <w:trPr>
          <w:trHeight w:val="300"/>
          <w:jc w:val="center"/>
        </w:trPr>
        <w:tc>
          <w:tcPr>
            <w:tcW w:w="5524" w:type="dxa"/>
            <w:shd w:val="clear" w:color="auto" w:fill="FBE4D5" w:themeFill="accent2" w:themeFillTint="33"/>
            <w:noWrap/>
            <w:hideMark/>
          </w:tcPr>
          <w:p w:rsidR="00887856" w:rsidRPr="00887856" w:rsidRDefault="00887856">
            <w:pPr>
              <w:rPr>
                <w:b/>
                <w:bCs/>
              </w:rPr>
            </w:pPr>
            <w:r w:rsidRPr="00887856">
              <w:rPr>
                <w:b/>
                <w:bCs/>
              </w:rPr>
              <w:t>SUBTOTAL CAP III</w:t>
            </w:r>
          </w:p>
        </w:tc>
        <w:tc>
          <w:tcPr>
            <w:tcW w:w="1996" w:type="dxa"/>
            <w:shd w:val="clear" w:color="auto" w:fill="FBE4D5" w:themeFill="accent2" w:themeFillTint="33"/>
            <w:noWrap/>
            <w:hideMark/>
          </w:tcPr>
          <w:p w:rsidR="00887856" w:rsidRPr="00887856" w:rsidRDefault="00887856" w:rsidP="00EA2B02">
            <w:pPr>
              <w:jc w:val="center"/>
              <w:rPr>
                <w:b/>
                <w:bCs/>
              </w:rPr>
            </w:pPr>
            <w:r w:rsidRPr="00887856">
              <w:rPr>
                <w:b/>
                <w:bCs/>
              </w:rPr>
              <w:t>937,45</w:t>
            </w:r>
          </w:p>
        </w:tc>
      </w:tr>
      <w:tr w:rsidR="00EA2B02" w:rsidRPr="00887856" w:rsidTr="00EA2B02">
        <w:trPr>
          <w:trHeight w:val="300"/>
          <w:jc w:val="center"/>
        </w:trPr>
        <w:tc>
          <w:tcPr>
            <w:tcW w:w="7520" w:type="dxa"/>
            <w:gridSpan w:val="2"/>
            <w:shd w:val="clear" w:color="auto" w:fill="FBE4D5" w:themeFill="accent2" w:themeFillTint="33"/>
            <w:noWrap/>
            <w:hideMark/>
          </w:tcPr>
          <w:p w:rsidR="00EA2B02" w:rsidRPr="00887856" w:rsidRDefault="00EA2B02" w:rsidP="00EA2B02">
            <w:pPr>
              <w:jc w:val="center"/>
              <w:rPr>
                <w:b/>
                <w:bCs/>
              </w:rPr>
            </w:pPr>
            <w:r w:rsidRPr="00887856">
              <w:rPr>
                <w:b/>
                <w:bCs/>
              </w:rPr>
              <w:t>CAP IV CUOTAS PERTENENCIA</w:t>
            </w:r>
            <w:r w:rsidR="00CE5200">
              <w:rPr>
                <w:b/>
                <w:bCs/>
              </w:rPr>
              <w:t xml:space="preserve"> CONSEJO Y ANQUE (29,95%)</w:t>
            </w:r>
          </w:p>
        </w:tc>
      </w:tr>
      <w:tr w:rsidR="00887856" w:rsidRPr="00887856" w:rsidTr="00887856">
        <w:trPr>
          <w:trHeight w:val="300"/>
          <w:jc w:val="center"/>
        </w:trPr>
        <w:tc>
          <w:tcPr>
            <w:tcW w:w="5524" w:type="dxa"/>
            <w:noWrap/>
            <w:hideMark/>
          </w:tcPr>
          <w:p w:rsidR="00887856" w:rsidRPr="00887856" w:rsidRDefault="00887856">
            <w:r w:rsidRPr="00887856">
              <w:t>Consejo General Colegios de Químicos</w:t>
            </w:r>
          </w:p>
        </w:tc>
        <w:tc>
          <w:tcPr>
            <w:tcW w:w="1996" w:type="dxa"/>
            <w:noWrap/>
            <w:hideMark/>
          </w:tcPr>
          <w:p w:rsidR="00887856" w:rsidRPr="00887856" w:rsidRDefault="00887856" w:rsidP="00EA2B02">
            <w:pPr>
              <w:jc w:val="right"/>
            </w:pPr>
            <w:r w:rsidRPr="00887856">
              <w:t>2327,76</w:t>
            </w:r>
          </w:p>
        </w:tc>
      </w:tr>
      <w:tr w:rsidR="00887856" w:rsidRPr="00887856" w:rsidTr="00887856">
        <w:trPr>
          <w:trHeight w:val="300"/>
          <w:jc w:val="center"/>
        </w:trPr>
        <w:tc>
          <w:tcPr>
            <w:tcW w:w="5524" w:type="dxa"/>
            <w:noWrap/>
            <w:hideMark/>
          </w:tcPr>
          <w:p w:rsidR="00887856" w:rsidRPr="00887856" w:rsidRDefault="00887856">
            <w:r w:rsidRPr="00887856">
              <w:t>ANQUE</w:t>
            </w:r>
          </w:p>
        </w:tc>
        <w:tc>
          <w:tcPr>
            <w:tcW w:w="1996" w:type="dxa"/>
            <w:noWrap/>
            <w:hideMark/>
          </w:tcPr>
          <w:p w:rsidR="00887856" w:rsidRPr="00887856" w:rsidRDefault="00887856" w:rsidP="00EA2B02">
            <w:pPr>
              <w:jc w:val="right"/>
            </w:pPr>
            <w:r w:rsidRPr="00887856">
              <w:t>1636,49</w:t>
            </w:r>
          </w:p>
        </w:tc>
      </w:tr>
      <w:tr w:rsidR="00887856" w:rsidRPr="00887856" w:rsidTr="00EA2B02">
        <w:trPr>
          <w:trHeight w:val="300"/>
          <w:jc w:val="center"/>
        </w:trPr>
        <w:tc>
          <w:tcPr>
            <w:tcW w:w="5524" w:type="dxa"/>
            <w:shd w:val="clear" w:color="auto" w:fill="FBE4D5" w:themeFill="accent2" w:themeFillTint="33"/>
            <w:noWrap/>
            <w:hideMark/>
          </w:tcPr>
          <w:p w:rsidR="00887856" w:rsidRPr="00887856" w:rsidRDefault="00887856">
            <w:pPr>
              <w:rPr>
                <w:b/>
                <w:bCs/>
              </w:rPr>
            </w:pPr>
            <w:r w:rsidRPr="00887856">
              <w:rPr>
                <w:b/>
                <w:bCs/>
              </w:rPr>
              <w:t>SUBTOTAL CAP IV</w:t>
            </w:r>
          </w:p>
        </w:tc>
        <w:tc>
          <w:tcPr>
            <w:tcW w:w="1996" w:type="dxa"/>
            <w:shd w:val="clear" w:color="auto" w:fill="FBE4D5" w:themeFill="accent2" w:themeFillTint="33"/>
            <w:noWrap/>
            <w:hideMark/>
          </w:tcPr>
          <w:p w:rsidR="00887856" w:rsidRPr="00887856" w:rsidRDefault="00887856" w:rsidP="00EA2B02">
            <w:pPr>
              <w:jc w:val="center"/>
              <w:rPr>
                <w:b/>
                <w:bCs/>
              </w:rPr>
            </w:pPr>
            <w:r w:rsidRPr="00887856">
              <w:rPr>
                <w:b/>
                <w:bCs/>
              </w:rPr>
              <w:t>3</w:t>
            </w:r>
            <w:r w:rsidR="00AE0727">
              <w:rPr>
                <w:b/>
                <w:bCs/>
              </w:rPr>
              <w:t>.</w:t>
            </w:r>
            <w:r w:rsidRPr="00887856">
              <w:rPr>
                <w:b/>
                <w:bCs/>
              </w:rPr>
              <w:t>964,25</w:t>
            </w:r>
          </w:p>
        </w:tc>
      </w:tr>
      <w:tr w:rsidR="00EA2B02" w:rsidRPr="00887856" w:rsidTr="00EA2B02">
        <w:trPr>
          <w:trHeight w:val="300"/>
          <w:jc w:val="center"/>
        </w:trPr>
        <w:tc>
          <w:tcPr>
            <w:tcW w:w="7520" w:type="dxa"/>
            <w:gridSpan w:val="2"/>
            <w:shd w:val="clear" w:color="auto" w:fill="FBE4D5" w:themeFill="accent2" w:themeFillTint="33"/>
            <w:noWrap/>
            <w:hideMark/>
          </w:tcPr>
          <w:p w:rsidR="00EA2B02" w:rsidRPr="00887856" w:rsidRDefault="00EA2B02" w:rsidP="00EA2B02">
            <w:pPr>
              <w:jc w:val="center"/>
              <w:rPr>
                <w:b/>
                <w:bCs/>
              </w:rPr>
            </w:pPr>
            <w:r w:rsidRPr="00887856">
              <w:rPr>
                <w:b/>
                <w:bCs/>
              </w:rPr>
              <w:t>CAP V IMPUESTOS Y COMISIONES BANCARIAS</w:t>
            </w:r>
            <w:r w:rsidR="00D64044">
              <w:rPr>
                <w:b/>
                <w:bCs/>
              </w:rPr>
              <w:t xml:space="preserve"> (</w:t>
            </w:r>
            <w:r w:rsidR="008B236D">
              <w:rPr>
                <w:b/>
                <w:bCs/>
              </w:rPr>
              <w:t>7,2%)</w:t>
            </w:r>
          </w:p>
        </w:tc>
      </w:tr>
      <w:tr w:rsidR="00887856" w:rsidRPr="00887856" w:rsidTr="00887856">
        <w:trPr>
          <w:trHeight w:val="300"/>
          <w:jc w:val="center"/>
        </w:trPr>
        <w:tc>
          <w:tcPr>
            <w:tcW w:w="5524" w:type="dxa"/>
            <w:noWrap/>
            <w:hideMark/>
          </w:tcPr>
          <w:p w:rsidR="00887856" w:rsidRPr="00887856" w:rsidRDefault="00887856">
            <w:r w:rsidRPr="00887856">
              <w:t>Gastos Bancarios Mantenimiento y Movimientos</w:t>
            </w:r>
          </w:p>
        </w:tc>
        <w:tc>
          <w:tcPr>
            <w:tcW w:w="1996" w:type="dxa"/>
            <w:noWrap/>
            <w:hideMark/>
          </w:tcPr>
          <w:p w:rsidR="00887856" w:rsidRPr="00887856" w:rsidRDefault="00887856" w:rsidP="00EA2B02">
            <w:pPr>
              <w:jc w:val="right"/>
            </w:pPr>
            <w:r w:rsidRPr="00887856">
              <w:t>500</w:t>
            </w:r>
          </w:p>
        </w:tc>
      </w:tr>
      <w:tr w:rsidR="00887856" w:rsidRPr="00887856" w:rsidTr="00887856">
        <w:trPr>
          <w:trHeight w:val="300"/>
          <w:jc w:val="center"/>
        </w:trPr>
        <w:tc>
          <w:tcPr>
            <w:tcW w:w="5524" w:type="dxa"/>
            <w:noWrap/>
            <w:hideMark/>
          </w:tcPr>
          <w:p w:rsidR="00887856" w:rsidRPr="00887856" w:rsidRDefault="00887856">
            <w:r w:rsidRPr="00887856">
              <w:t>IBI Inmueble Calle Castro</w:t>
            </w:r>
          </w:p>
        </w:tc>
        <w:tc>
          <w:tcPr>
            <w:tcW w:w="1996" w:type="dxa"/>
            <w:noWrap/>
            <w:hideMark/>
          </w:tcPr>
          <w:p w:rsidR="00887856" w:rsidRPr="00887856" w:rsidRDefault="00887856" w:rsidP="00EA2B02">
            <w:pPr>
              <w:jc w:val="right"/>
            </w:pPr>
            <w:r w:rsidRPr="00887856">
              <w:t>276,57</w:t>
            </w:r>
          </w:p>
        </w:tc>
      </w:tr>
      <w:tr w:rsidR="00887856" w:rsidRPr="00887856" w:rsidTr="00887856">
        <w:trPr>
          <w:trHeight w:val="300"/>
          <w:jc w:val="center"/>
        </w:trPr>
        <w:tc>
          <w:tcPr>
            <w:tcW w:w="5524" w:type="dxa"/>
            <w:noWrap/>
            <w:hideMark/>
          </w:tcPr>
          <w:p w:rsidR="00887856" w:rsidRPr="00887856" w:rsidRDefault="00887856">
            <w:r w:rsidRPr="00887856">
              <w:t>Impuesto Municipal Basura</w:t>
            </w:r>
          </w:p>
        </w:tc>
        <w:tc>
          <w:tcPr>
            <w:tcW w:w="1996" w:type="dxa"/>
            <w:noWrap/>
            <w:hideMark/>
          </w:tcPr>
          <w:p w:rsidR="00887856" w:rsidRPr="00887856" w:rsidRDefault="00887856" w:rsidP="00EA2B02">
            <w:pPr>
              <w:jc w:val="right"/>
            </w:pPr>
            <w:r w:rsidRPr="00887856">
              <w:t>170,71</w:t>
            </w:r>
          </w:p>
        </w:tc>
      </w:tr>
      <w:tr w:rsidR="00887856" w:rsidRPr="00887856" w:rsidTr="00EA2B02">
        <w:trPr>
          <w:trHeight w:val="300"/>
          <w:jc w:val="center"/>
        </w:trPr>
        <w:tc>
          <w:tcPr>
            <w:tcW w:w="5524" w:type="dxa"/>
            <w:shd w:val="clear" w:color="auto" w:fill="FBE4D5" w:themeFill="accent2" w:themeFillTint="33"/>
            <w:noWrap/>
            <w:hideMark/>
          </w:tcPr>
          <w:p w:rsidR="00887856" w:rsidRPr="00887856" w:rsidRDefault="00887856">
            <w:pPr>
              <w:rPr>
                <w:b/>
                <w:bCs/>
              </w:rPr>
            </w:pPr>
            <w:r w:rsidRPr="00887856">
              <w:rPr>
                <w:b/>
                <w:bCs/>
              </w:rPr>
              <w:t>SUBTOTAL CAP V</w:t>
            </w:r>
            <w:r w:rsidR="0099534D">
              <w:rPr>
                <w:b/>
                <w:bCs/>
              </w:rPr>
              <w:t>5</w:t>
            </w:r>
          </w:p>
        </w:tc>
        <w:tc>
          <w:tcPr>
            <w:tcW w:w="1996" w:type="dxa"/>
            <w:shd w:val="clear" w:color="auto" w:fill="FBE4D5" w:themeFill="accent2" w:themeFillTint="33"/>
            <w:noWrap/>
            <w:hideMark/>
          </w:tcPr>
          <w:p w:rsidR="00887856" w:rsidRPr="00887856" w:rsidRDefault="00887856" w:rsidP="00EA2B02">
            <w:pPr>
              <w:jc w:val="center"/>
              <w:rPr>
                <w:b/>
                <w:bCs/>
              </w:rPr>
            </w:pPr>
            <w:r w:rsidRPr="00887856">
              <w:rPr>
                <w:b/>
                <w:bCs/>
              </w:rPr>
              <w:t>947,28</w:t>
            </w:r>
          </w:p>
        </w:tc>
      </w:tr>
      <w:tr w:rsidR="00EA2B02" w:rsidRPr="00887856" w:rsidTr="00EA2B02">
        <w:trPr>
          <w:trHeight w:val="300"/>
          <w:jc w:val="center"/>
        </w:trPr>
        <w:tc>
          <w:tcPr>
            <w:tcW w:w="7520" w:type="dxa"/>
            <w:gridSpan w:val="2"/>
            <w:shd w:val="clear" w:color="auto" w:fill="FBE4D5" w:themeFill="accent2" w:themeFillTint="33"/>
            <w:noWrap/>
            <w:hideMark/>
          </w:tcPr>
          <w:p w:rsidR="00EA2B02" w:rsidRPr="00887856" w:rsidRDefault="00EA2B02" w:rsidP="00EA2B02">
            <w:pPr>
              <w:jc w:val="center"/>
              <w:rPr>
                <w:b/>
                <w:bCs/>
              </w:rPr>
            </w:pPr>
            <w:r w:rsidRPr="00887856">
              <w:rPr>
                <w:b/>
                <w:bCs/>
              </w:rPr>
              <w:t>CAP VI PARTICIPACIÓN EVENTOS</w:t>
            </w:r>
            <w:r w:rsidR="0099534D">
              <w:rPr>
                <w:b/>
                <w:bCs/>
              </w:rPr>
              <w:t xml:space="preserve"> (2,3%)</w:t>
            </w:r>
          </w:p>
        </w:tc>
      </w:tr>
      <w:tr w:rsidR="00887856" w:rsidRPr="00887856" w:rsidTr="00887856">
        <w:trPr>
          <w:trHeight w:val="300"/>
          <w:jc w:val="center"/>
        </w:trPr>
        <w:tc>
          <w:tcPr>
            <w:tcW w:w="5524" w:type="dxa"/>
            <w:noWrap/>
            <w:hideMark/>
          </w:tcPr>
          <w:p w:rsidR="00887856" w:rsidRPr="00887856" w:rsidRDefault="00887856">
            <w:r w:rsidRPr="00887856">
              <w:t>Premio Congreso Estudiantes ULL</w:t>
            </w:r>
          </w:p>
        </w:tc>
        <w:tc>
          <w:tcPr>
            <w:tcW w:w="1996" w:type="dxa"/>
            <w:noWrap/>
            <w:hideMark/>
          </w:tcPr>
          <w:p w:rsidR="00887856" w:rsidRPr="00887856" w:rsidRDefault="00887856" w:rsidP="00EA2B02">
            <w:pPr>
              <w:jc w:val="right"/>
            </w:pPr>
            <w:r w:rsidRPr="00887856">
              <w:t>100</w:t>
            </w:r>
          </w:p>
        </w:tc>
      </w:tr>
      <w:tr w:rsidR="00887856" w:rsidRPr="00887856" w:rsidTr="00887856">
        <w:trPr>
          <w:trHeight w:val="300"/>
          <w:jc w:val="center"/>
        </w:trPr>
        <w:tc>
          <w:tcPr>
            <w:tcW w:w="5524" w:type="dxa"/>
            <w:noWrap/>
            <w:hideMark/>
          </w:tcPr>
          <w:p w:rsidR="00887856" w:rsidRPr="00887856" w:rsidRDefault="00887856">
            <w:r w:rsidRPr="00887856">
              <w:t>Cóctel San Alberto</w:t>
            </w:r>
          </w:p>
        </w:tc>
        <w:tc>
          <w:tcPr>
            <w:tcW w:w="1996" w:type="dxa"/>
            <w:noWrap/>
            <w:hideMark/>
          </w:tcPr>
          <w:p w:rsidR="00887856" w:rsidRPr="00887856" w:rsidRDefault="00887856" w:rsidP="00EA2B02">
            <w:pPr>
              <w:jc w:val="right"/>
            </w:pPr>
            <w:r w:rsidRPr="00887856">
              <w:t>200</w:t>
            </w:r>
          </w:p>
        </w:tc>
      </w:tr>
      <w:tr w:rsidR="00887856" w:rsidRPr="00887856" w:rsidTr="00EA2B02">
        <w:trPr>
          <w:trHeight w:val="300"/>
          <w:jc w:val="center"/>
        </w:trPr>
        <w:tc>
          <w:tcPr>
            <w:tcW w:w="5524" w:type="dxa"/>
            <w:shd w:val="clear" w:color="auto" w:fill="FBE4D5" w:themeFill="accent2" w:themeFillTint="33"/>
            <w:noWrap/>
            <w:hideMark/>
          </w:tcPr>
          <w:p w:rsidR="00887856" w:rsidRPr="00887856" w:rsidRDefault="00887856">
            <w:pPr>
              <w:rPr>
                <w:b/>
                <w:bCs/>
              </w:rPr>
            </w:pPr>
            <w:r w:rsidRPr="00887856">
              <w:rPr>
                <w:b/>
                <w:bCs/>
              </w:rPr>
              <w:t>SUBTOTAL CAP VI</w:t>
            </w:r>
          </w:p>
        </w:tc>
        <w:tc>
          <w:tcPr>
            <w:tcW w:w="1996" w:type="dxa"/>
            <w:shd w:val="clear" w:color="auto" w:fill="FBE4D5" w:themeFill="accent2" w:themeFillTint="33"/>
            <w:noWrap/>
            <w:hideMark/>
          </w:tcPr>
          <w:p w:rsidR="00887856" w:rsidRPr="00887856" w:rsidRDefault="00887856" w:rsidP="00EA2B02">
            <w:pPr>
              <w:jc w:val="center"/>
              <w:rPr>
                <w:b/>
                <w:bCs/>
              </w:rPr>
            </w:pPr>
            <w:r w:rsidRPr="00887856">
              <w:rPr>
                <w:b/>
                <w:bCs/>
              </w:rPr>
              <w:t>300</w:t>
            </w:r>
          </w:p>
        </w:tc>
      </w:tr>
      <w:tr w:rsidR="00887856" w:rsidRPr="00887856" w:rsidTr="00EA2B02">
        <w:trPr>
          <w:trHeight w:val="300"/>
          <w:jc w:val="center"/>
        </w:trPr>
        <w:tc>
          <w:tcPr>
            <w:tcW w:w="5524" w:type="dxa"/>
            <w:shd w:val="clear" w:color="auto" w:fill="F4B083" w:themeFill="accent2" w:themeFillTint="99"/>
            <w:noWrap/>
            <w:hideMark/>
          </w:tcPr>
          <w:p w:rsidR="00887856" w:rsidRPr="00887856" w:rsidRDefault="00887856" w:rsidP="00EA2B02">
            <w:pPr>
              <w:jc w:val="center"/>
              <w:rPr>
                <w:b/>
                <w:bCs/>
              </w:rPr>
            </w:pPr>
            <w:r w:rsidRPr="00887856">
              <w:rPr>
                <w:b/>
                <w:bCs/>
              </w:rPr>
              <w:t>TOTAL GASTOS PREVISTOS EJERCICIO 2019</w:t>
            </w:r>
          </w:p>
        </w:tc>
        <w:tc>
          <w:tcPr>
            <w:tcW w:w="1996" w:type="dxa"/>
            <w:shd w:val="clear" w:color="auto" w:fill="F4B083" w:themeFill="accent2" w:themeFillTint="99"/>
            <w:noWrap/>
            <w:hideMark/>
          </w:tcPr>
          <w:p w:rsidR="00887856" w:rsidRPr="00887856" w:rsidRDefault="00887856" w:rsidP="00EA2B02">
            <w:pPr>
              <w:jc w:val="center"/>
              <w:rPr>
                <w:b/>
                <w:bCs/>
              </w:rPr>
            </w:pPr>
            <w:r w:rsidRPr="00887856">
              <w:rPr>
                <w:b/>
                <w:bCs/>
              </w:rPr>
              <w:t>13</w:t>
            </w:r>
            <w:r w:rsidR="00AE0727">
              <w:rPr>
                <w:b/>
                <w:bCs/>
              </w:rPr>
              <w:t>.</w:t>
            </w:r>
            <w:r w:rsidRPr="00887856">
              <w:rPr>
                <w:b/>
                <w:bCs/>
              </w:rPr>
              <w:t>236,34</w:t>
            </w:r>
          </w:p>
        </w:tc>
      </w:tr>
    </w:tbl>
    <w:p w:rsidR="00887856" w:rsidRDefault="00887856" w:rsidP="003F6603"/>
    <w:p w:rsidR="00EA2B02" w:rsidRDefault="00EA2B02" w:rsidP="003F6603"/>
    <w:tbl>
      <w:tblPr>
        <w:tblStyle w:val="Tablaconcuadrcula"/>
        <w:tblW w:w="0" w:type="auto"/>
        <w:jc w:val="center"/>
        <w:tblLook w:val="04A0" w:firstRow="1" w:lastRow="0" w:firstColumn="1" w:lastColumn="0" w:noHBand="0" w:noVBand="1"/>
      </w:tblPr>
      <w:tblGrid>
        <w:gridCol w:w="4531"/>
        <w:gridCol w:w="1985"/>
      </w:tblGrid>
      <w:tr w:rsidR="00EA2B02" w:rsidRPr="00EA2B02" w:rsidTr="00EA2B02">
        <w:trPr>
          <w:trHeight w:val="300"/>
          <w:jc w:val="center"/>
        </w:trPr>
        <w:tc>
          <w:tcPr>
            <w:tcW w:w="4531" w:type="dxa"/>
            <w:shd w:val="clear" w:color="auto" w:fill="D5DCE4" w:themeFill="text2" w:themeFillTint="33"/>
            <w:noWrap/>
            <w:hideMark/>
          </w:tcPr>
          <w:p w:rsidR="00EA2B02" w:rsidRPr="00EA2B02" w:rsidRDefault="00EA2B02" w:rsidP="00EA2B02">
            <w:pPr>
              <w:jc w:val="center"/>
              <w:rPr>
                <w:b/>
                <w:bCs/>
              </w:rPr>
            </w:pPr>
            <w:r w:rsidRPr="00EA2B02">
              <w:rPr>
                <w:b/>
                <w:bCs/>
              </w:rPr>
              <w:lastRenderedPageBreak/>
              <w:t>INGRESOS</w:t>
            </w:r>
          </w:p>
        </w:tc>
        <w:tc>
          <w:tcPr>
            <w:tcW w:w="1985" w:type="dxa"/>
            <w:shd w:val="clear" w:color="auto" w:fill="D5DCE4" w:themeFill="text2" w:themeFillTint="33"/>
            <w:noWrap/>
            <w:hideMark/>
          </w:tcPr>
          <w:p w:rsidR="00EA2B02" w:rsidRPr="00EA2B02" w:rsidRDefault="00EA2B02" w:rsidP="00EA2B02">
            <w:pPr>
              <w:jc w:val="center"/>
              <w:rPr>
                <w:b/>
                <w:bCs/>
              </w:rPr>
            </w:pPr>
            <w:r w:rsidRPr="00EA2B02">
              <w:rPr>
                <w:b/>
                <w:bCs/>
              </w:rPr>
              <w:t>Previsto 2019 (€)</w:t>
            </w:r>
          </w:p>
        </w:tc>
      </w:tr>
      <w:tr w:rsidR="00EA2B02" w:rsidRPr="00EA2B02" w:rsidTr="00EA2B02">
        <w:trPr>
          <w:trHeight w:val="300"/>
          <w:jc w:val="center"/>
        </w:trPr>
        <w:tc>
          <w:tcPr>
            <w:tcW w:w="4531" w:type="dxa"/>
            <w:noWrap/>
            <w:hideMark/>
          </w:tcPr>
          <w:p w:rsidR="00EA2B02" w:rsidRPr="00EA2B02" w:rsidRDefault="00EA2B02">
            <w:r w:rsidRPr="00EA2B02">
              <w:t>Cuotas Colegiales</w:t>
            </w:r>
          </w:p>
        </w:tc>
        <w:tc>
          <w:tcPr>
            <w:tcW w:w="1985" w:type="dxa"/>
            <w:noWrap/>
            <w:hideMark/>
          </w:tcPr>
          <w:p w:rsidR="00EA2B02" w:rsidRPr="00EA2B02" w:rsidRDefault="00EA2B02" w:rsidP="00EA2B02">
            <w:pPr>
              <w:jc w:val="right"/>
            </w:pPr>
            <w:r w:rsidRPr="00EA2B02">
              <w:t>12</w:t>
            </w:r>
            <w:r w:rsidR="00AE0727">
              <w:t>.</w:t>
            </w:r>
            <w:r w:rsidRPr="00EA2B02">
              <w:t>000</w:t>
            </w:r>
          </w:p>
        </w:tc>
      </w:tr>
      <w:tr w:rsidR="00EA2B02" w:rsidRPr="00EA2B02" w:rsidTr="00EA2B02">
        <w:trPr>
          <w:trHeight w:val="300"/>
          <w:jc w:val="center"/>
        </w:trPr>
        <w:tc>
          <w:tcPr>
            <w:tcW w:w="4531" w:type="dxa"/>
            <w:noWrap/>
            <w:hideMark/>
          </w:tcPr>
          <w:p w:rsidR="00EA2B02" w:rsidRPr="00EA2B02" w:rsidRDefault="00EA2B02">
            <w:r w:rsidRPr="00EA2B02">
              <w:t>Visados</w:t>
            </w:r>
          </w:p>
        </w:tc>
        <w:tc>
          <w:tcPr>
            <w:tcW w:w="1985" w:type="dxa"/>
            <w:noWrap/>
            <w:hideMark/>
          </w:tcPr>
          <w:p w:rsidR="00EA2B02" w:rsidRPr="00EA2B02" w:rsidRDefault="00EA2B02" w:rsidP="00EA2B02">
            <w:pPr>
              <w:jc w:val="right"/>
            </w:pPr>
            <w:r w:rsidRPr="00EA2B02">
              <w:t>600</w:t>
            </w:r>
          </w:p>
        </w:tc>
      </w:tr>
      <w:tr w:rsidR="00EA2B02" w:rsidRPr="00EA2B02" w:rsidTr="00EA2B02">
        <w:trPr>
          <w:trHeight w:val="300"/>
          <w:jc w:val="center"/>
        </w:trPr>
        <w:tc>
          <w:tcPr>
            <w:tcW w:w="4531" w:type="dxa"/>
            <w:noWrap/>
            <w:hideMark/>
          </w:tcPr>
          <w:p w:rsidR="00EA2B02" w:rsidRPr="00EA2B02" w:rsidRDefault="00EA2B02">
            <w:r w:rsidRPr="00EA2B02">
              <w:t>Patrocinio PSN</w:t>
            </w:r>
          </w:p>
        </w:tc>
        <w:tc>
          <w:tcPr>
            <w:tcW w:w="1985" w:type="dxa"/>
            <w:noWrap/>
            <w:hideMark/>
          </w:tcPr>
          <w:p w:rsidR="00EA2B02" w:rsidRPr="00EA2B02" w:rsidRDefault="00EA2B02" w:rsidP="00EA2B02">
            <w:pPr>
              <w:jc w:val="right"/>
            </w:pPr>
            <w:r w:rsidRPr="00EA2B02">
              <w:t>107</w:t>
            </w:r>
          </w:p>
        </w:tc>
      </w:tr>
      <w:tr w:rsidR="00EA2B02" w:rsidRPr="00EA2B02" w:rsidTr="00EA2B02">
        <w:trPr>
          <w:trHeight w:val="300"/>
          <w:jc w:val="center"/>
        </w:trPr>
        <w:tc>
          <w:tcPr>
            <w:tcW w:w="4531" w:type="dxa"/>
            <w:shd w:val="clear" w:color="auto" w:fill="C5E0B3" w:themeFill="accent6" w:themeFillTint="66"/>
            <w:noWrap/>
            <w:hideMark/>
          </w:tcPr>
          <w:p w:rsidR="00EA2B02" w:rsidRPr="00EA2B02" w:rsidRDefault="00EA2B02" w:rsidP="00EA2B02">
            <w:pPr>
              <w:jc w:val="center"/>
              <w:rPr>
                <w:b/>
                <w:bCs/>
              </w:rPr>
            </w:pPr>
            <w:r w:rsidRPr="00EA2B02">
              <w:rPr>
                <w:b/>
                <w:bCs/>
              </w:rPr>
              <w:t>TOTAL INGRESOS PREVISTOS EJERCICIO 2019</w:t>
            </w:r>
          </w:p>
        </w:tc>
        <w:tc>
          <w:tcPr>
            <w:tcW w:w="1985" w:type="dxa"/>
            <w:shd w:val="clear" w:color="auto" w:fill="C5E0B3" w:themeFill="accent6" w:themeFillTint="66"/>
            <w:noWrap/>
            <w:hideMark/>
          </w:tcPr>
          <w:p w:rsidR="00EA2B02" w:rsidRPr="00EA2B02" w:rsidRDefault="00EA2B02" w:rsidP="00EA2B02">
            <w:pPr>
              <w:jc w:val="center"/>
              <w:rPr>
                <w:b/>
                <w:bCs/>
              </w:rPr>
            </w:pPr>
            <w:r w:rsidRPr="00EA2B02">
              <w:rPr>
                <w:b/>
                <w:bCs/>
              </w:rPr>
              <w:t>12</w:t>
            </w:r>
            <w:r w:rsidR="00AE0727">
              <w:rPr>
                <w:b/>
                <w:bCs/>
              </w:rPr>
              <w:t>.</w:t>
            </w:r>
            <w:r w:rsidRPr="00EA2B02">
              <w:rPr>
                <w:b/>
                <w:bCs/>
              </w:rPr>
              <w:t>707</w:t>
            </w:r>
          </w:p>
        </w:tc>
        <w:bookmarkStart w:id="0" w:name="_GoBack"/>
        <w:bookmarkEnd w:id="0"/>
      </w:tr>
    </w:tbl>
    <w:p w:rsidR="00EA2B02" w:rsidRDefault="00EA2B02" w:rsidP="00EA2B02"/>
    <w:p w:rsidR="00EA2B02" w:rsidRDefault="00EA2B02" w:rsidP="00D76B45">
      <w:pPr>
        <w:jc w:val="right"/>
      </w:pPr>
    </w:p>
    <w:tbl>
      <w:tblPr>
        <w:tblStyle w:val="Tablaconcuadrcula"/>
        <w:tblW w:w="0" w:type="auto"/>
        <w:jc w:val="center"/>
        <w:tblLook w:val="04A0" w:firstRow="1" w:lastRow="0" w:firstColumn="1" w:lastColumn="0" w:noHBand="0" w:noVBand="1"/>
      </w:tblPr>
      <w:tblGrid>
        <w:gridCol w:w="5860"/>
        <w:gridCol w:w="1660"/>
      </w:tblGrid>
      <w:tr w:rsidR="00EA2B02" w:rsidRPr="00EA2B02" w:rsidTr="00EA2B02">
        <w:trPr>
          <w:trHeight w:val="300"/>
          <w:jc w:val="center"/>
        </w:trPr>
        <w:tc>
          <w:tcPr>
            <w:tcW w:w="5860" w:type="dxa"/>
            <w:shd w:val="clear" w:color="auto" w:fill="F4B083" w:themeFill="accent2" w:themeFillTint="99"/>
            <w:noWrap/>
            <w:hideMark/>
          </w:tcPr>
          <w:p w:rsidR="00EA2B02" w:rsidRPr="00EA2B02" w:rsidRDefault="00EA2B02" w:rsidP="00EA2B02">
            <w:pPr>
              <w:jc w:val="center"/>
              <w:rPr>
                <w:b/>
                <w:bCs/>
              </w:rPr>
            </w:pPr>
            <w:r w:rsidRPr="00EA2B02">
              <w:rPr>
                <w:b/>
                <w:bCs/>
              </w:rPr>
              <w:t>TOTAL INGRESOS - GASTOS PREVISTO 2019</w:t>
            </w:r>
          </w:p>
        </w:tc>
        <w:tc>
          <w:tcPr>
            <w:tcW w:w="1660" w:type="dxa"/>
            <w:shd w:val="clear" w:color="auto" w:fill="F4B083" w:themeFill="accent2" w:themeFillTint="99"/>
            <w:noWrap/>
            <w:hideMark/>
          </w:tcPr>
          <w:p w:rsidR="00EA2B02" w:rsidRPr="00EA2B02" w:rsidRDefault="00EA2B02" w:rsidP="00EA2B02">
            <w:pPr>
              <w:jc w:val="center"/>
              <w:rPr>
                <w:b/>
                <w:bCs/>
              </w:rPr>
            </w:pPr>
            <w:r w:rsidRPr="00EA2B02">
              <w:rPr>
                <w:b/>
                <w:bCs/>
              </w:rPr>
              <w:t>-529,34</w:t>
            </w:r>
          </w:p>
        </w:tc>
      </w:tr>
    </w:tbl>
    <w:p w:rsidR="00EA2B02" w:rsidRDefault="00EA2B02" w:rsidP="00EA2B02"/>
    <w:p w:rsidR="00EA2B02" w:rsidRDefault="00EA2B02" w:rsidP="00D76B45">
      <w:pPr>
        <w:jc w:val="right"/>
      </w:pPr>
    </w:p>
    <w:p w:rsidR="00EA2B02" w:rsidRPr="00550137" w:rsidRDefault="00EA2B02" w:rsidP="00550137">
      <w:pPr>
        <w:jc w:val="center"/>
        <w:rPr>
          <w:b/>
        </w:rPr>
      </w:pPr>
      <w:r w:rsidRPr="00550137">
        <w:rPr>
          <w:b/>
        </w:rPr>
        <w:t>RESUMEN POR CAPÍTULOS</w:t>
      </w:r>
    </w:p>
    <w:p w:rsidR="00EA2B02" w:rsidRPr="00550137" w:rsidRDefault="00EA2B02" w:rsidP="00EA2B02">
      <w:pPr>
        <w:rPr>
          <w:b/>
        </w:rPr>
      </w:pPr>
      <w:r w:rsidRPr="00550137">
        <w:rPr>
          <w:b/>
        </w:rPr>
        <w:t>GASTOS</w:t>
      </w:r>
    </w:p>
    <w:p w:rsidR="00EA2B02" w:rsidRPr="00550137" w:rsidRDefault="00EA2B02" w:rsidP="00EA2B02">
      <w:pPr>
        <w:rPr>
          <w:b/>
        </w:rPr>
      </w:pPr>
      <w:r w:rsidRPr="00550137">
        <w:rPr>
          <w:b/>
        </w:rPr>
        <w:t>CAPÍTULO I: SEDE Y SUMINISTROS</w:t>
      </w:r>
    </w:p>
    <w:p w:rsidR="00EA2B02" w:rsidRDefault="00EA2B02" w:rsidP="00550137">
      <w:pPr>
        <w:jc w:val="both"/>
      </w:pPr>
      <w:r>
        <w:t>El capítulo I supone un 19,55 % de los gastos totales.</w:t>
      </w:r>
    </w:p>
    <w:p w:rsidR="00EA2B02" w:rsidRDefault="00EA2B02" w:rsidP="00550137">
      <w:pPr>
        <w:jc w:val="both"/>
      </w:pPr>
      <w:r>
        <w:t>Respecto al Ejercicio 2018 cabe destacar una reducción de 116 € en los gastos de en material de oficina y limpieza basada en datos reales de gasto del ejercicio 2018</w:t>
      </w:r>
      <w:r w:rsidR="00550137">
        <w:t>. Los gastos fijos de telefonía e internet suben pasando de una cuota de 67,00 €/mes a una de 70,84 €/mes por la contratación de fibra simétrica de alta velocidad.</w:t>
      </w:r>
    </w:p>
    <w:p w:rsidR="00550137" w:rsidRDefault="00550137" w:rsidP="00550137">
      <w:pPr>
        <w:jc w:val="both"/>
      </w:pPr>
      <w:r>
        <w:t>Se suprime el gasto externalizado en “diseño”, tarea que será asumida por el Colegio.</w:t>
      </w:r>
    </w:p>
    <w:p w:rsidR="00550137" w:rsidRDefault="00550137" w:rsidP="00550137">
      <w:pPr>
        <w:jc w:val="both"/>
      </w:pPr>
      <w:r>
        <w:t>Se suprime el gasto de “mantenimiento del servidor”, equipo que no ha necesitado mantenimiento externo durante el ejercicio 2018.</w:t>
      </w:r>
    </w:p>
    <w:p w:rsidR="00550137" w:rsidRDefault="00550137" w:rsidP="00550137">
      <w:pPr>
        <w:jc w:val="both"/>
      </w:pPr>
      <w:r>
        <w:t>Se mantienen igual los gastos de Comunidad, seguro del inmueble, agua, luz, dominio de internet y alojamiento web.</w:t>
      </w:r>
    </w:p>
    <w:p w:rsidR="00550137" w:rsidRDefault="00550137" w:rsidP="00550137">
      <w:pPr>
        <w:jc w:val="both"/>
      </w:pPr>
    </w:p>
    <w:p w:rsidR="00550137" w:rsidRPr="005862B4" w:rsidRDefault="00550137" w:rsidP="00550137">
      <w:pPr>
        <w:jc w:val="both"/>
        <w:rPr>
          <w:b/>
        </w:rPr>
      </w:pPr>
      <w:r w:rsidRPr="005862B4">
        <w:rPr>
          <w:b/>
        </w:rPr>
        <w:t>CAPÍTULO II: PERSONAL</w:t>
      </w:r>
    </w:p>
    <w:p w:rsidR="00550137" w:rsidRDefault="00550137" w:rsidP="005862B4">
      <w:pPr>
        <w:jc w:val="both"/>
      </w:pPr>
      <w:r>
        <w:t>El capítulo II supone un 29,1 % de los gastos totales.</w:t>
      </w:r>
    </w:p>
    <w:p w:rsidR="005862B4" w:rsidRDefault="005862B4" w:rsidP="005862B4">
      <w:pPr>
        <w:jc w:val="both"/>
      </w:pPr>
      <w:r>
        <w:t>Respecto al Presupuesto 2018, esta vez se han tenido en cuenta los impuestos asociados a las facturas de honorarios del Gerente, pasando de reflejarse 3.600,00 €/año netos en 2018 a 3.852,00 €/año brutos en 2019, es decir, 252,00 €/año adicionales que no se contemplaban anteriormente.</w:t>
      </w:r>
    </w:p>
    <w:p w:rsidR="005862B4" w:rsidRDefault="005862B4" w:rsidP="005862B4">
      <w:pPr>
        <w:jc w:val="both"/>
      </w:pPr>
      <w:r>
        <w:t>Se ha producido un ahorro en cuotas de la SS de 989,88 €/año.</w:t>
      </w:r>
    </w:p>
    <w:p w:rsidR="005862B4" w:rsidRDefault="005862B4" w:rsidP="005862B4">
      <w:pPr>
        <w:jc w:val="both"/>
      </w:pPr>
      <w:r>
        <w:t>El ahorro total en el capítulo de Personal es por tanto de 737,88 €/año.</w:t>
      </w:r>
    </w:p>
    <w:p w:rsidR="00550137" w:rsidRDefault="00550137" w:rsidP="00EA2B02"/>
    <w:p w:rsidR="00550137" w:rsidRPr="005862B4" w:rsidRDefault="005862B4" w:rsidP="00EA2B02">
      <w:pPr>
        <w:rPr>
          <w:b/>
        </w:rPr>
      </w:pPr>
      <w:r w:rsidRPr="005862B4">
        <w:rPr>
          <w:b/>
        </w:rPr>
        <w:lastRenderedPageBreak/>
        <w:t>CÁPITULO III: PROVEEDORES DE SERVICIOS</w:t>
      </w:r>
      <w:r>
        <w:rPr>
          <w:b/>
        </w:rPr>
        <w:t xml:space="preserve"> Y ASESORES</w:t>
      </w:r>
    </w:p>
    <w:p w:rsidR="005862B4" w:rsidRPr="005862B4" w:rsidRDefault="005862B4" w:rsidP="00CE5200">
      <w:pPr>
        <w:jc w:val="both"/>
      </w:pPr>
      <w:r w:rsidRPr="005862B4">
        <w:t>El capítulo II</w:t>
      </w:r>
      <w:r>
        <w:t>I</w:t>
      </w:r>
      <w:r w:rsidRPr="005862B4">
        <w:t xml:space="preserve"> supone un  </w:t>
      </w:r>
      <w:r>
        <w:t xml:space="preserve">7,1 </w:t>
      </w:r>
      <w:r w:rsidRPr="005862B4">
        <w:t>% de los gastos totales.</w:t>
      </w:r>
    </w:p>
    <w:p w:rsidR="005862B4" w:rsidRDefault="005862B4" w:rsidP="00CE5200">
      <w:pPr>
        <w:jc w:val="both"/>
      </w:pPr>
      <w:r>
        <w:t xml:space="preserve">Respecto al Ejercicio 2018, se ha eliminado el gasto en asesoría laboral y contable al prescindirse del personal contratado y asumir la gerencia </w:t>
      </w:r>
      <w:r w:rsidR="00CE5200">
        <w:t>la preparación de la remesa de cobro de las cuotas colegiales. Esto supone un ahorro de 192,00 €.</w:t>
      </w:r>
    </w:p>
    <w:p w:rsidR="00CE5200" w:rsidRDefault="00CE5200" w:rsidP="00CE5200">
      <w:pPr>
        <w:jc w:val="both"/>
      </w:pPr>
      <w:r>
        <w:t>Se ha incluido una nueva partida destinada a pago de Servicios Jurídicos. Esto se contempla en virtud del convenio suscrito con el despacho de abogados Alonso y Díaz. Los gastos jurídicos para 2019 se estiman inferiores a los gastos realizados en 2018, año en el que se ha encomendado la redacción del RRI del Colegio al mencionado despacho profesional.</w:t>
      </w:r>
    </w:p>
    <w:p w:rsidR="00CE5200" w:rsidRDefault="00CE5200" w:rsidP="00CE5200">
      <w:pPr>
        <w:jc w:val="both"/>
      </w:pPr>
    </w:p>
    <w:p w:rsidR="00CE5200" w:rsidRPr="00CE5200" w:rsidRDefault="00CE5200" w:rsidP="00CE5200">
      <w:pPr>
        <w:jc w:val="both"/>
        <w:rPr>
          <w:b/>
        </w:rPr>
      </w:pPr>
      <w:r w:rsidRPr="00CE5200">
        <w:rPr>
          <w:b/>
        </w:rPr>
        <w:t>CAPÍTULO IV: CUOTAS PERTENENCIA CONSEJO Y ASOCIACIONES</w:t>
      </w:r>
    </w:p>
    <w:p w:rsidR="00CE5200" w:rsidRDefault="00CE5200" w:rsidP="00CE5200">
      <w:pPr>
        <w:jc w:val="both"/>
      </w:pPr>
      <w:r w:rsidRPr="005862B4">
        <w:t>El cap</w:t>
      </w:r>
      <w:r>
        <w:t>ítulo IV</w:t>
      </w:r>
      <w:r w:rsidRPr="005862B4">
        <w:t xml:space="preserve"> supone un  </w:t>
      </w:r>
      <w:r>
        <w:t>29,95</w:t>
      </w:r>
      <w:r>
        <w:t xml:space="preserve"> </w:t>
      </w:r>
      <w:r w:rsidRPr="005862B4">
        <w:t>% de los gastos totales.</w:t>
      </w:r>
    </w:p>
    <w:p w:rsidR="00CE5200" w:rsidRDefault="00CE5200" w:rsidP="00CE5200">
      <w:pPr>
        <w:jc w:val="both"/>
      </w:pPr>
      <w:r>
        <w:t>Se mantienen las cuotas por la pertenencia al Consejo General de Colegios de Químicos de España y a la Asociación Nacional de Químicos de España, organización esta última a la que se encomienda la organización, promoción y realización de actividades formativas para los Colegiados.</w:t>
      </w:r>
    </w:p>
    <w:p w:rsidR="00D64044" w:rsidRDefault="00D64044" w:rsidP="00CE5200">
      <w:pPr>
        <w:jc w:val="both"/>
      </w:pPr>
    </w:p>
    <w:p w:rsidR="00D64044" w:rsidRPr="00D64044" w:rsidRDefault="00D64044" w:rsidP="00CE5200">
      <w:pPr>
        <w:jc w:val="both"/>
        <w:rPr>
          <w:b/>
        </w:rPr>
      </w:pPr>
      <w:r w:rsidRPr="00D64044">
        <w:rPr>
          <w:b/>
        </w:rPr>
        <w:t>CAPÍTULO V: IMPUESTOS Y COMISIONES BANCARIAS</w:t>
      </w:r>
    </w:p>
    <w:p w:rsidR="00D64044" w:rsidRDefault="00D64044" w:rsidP="00D64044">
      <w:pPr>
        <w:jc w:val="both"/>
      </w:pPr>
      <w:r w:rsidRPr="00D64044">
        <w:t>El cap</w:t>
      </w:r>
      <w:r>
        <w:t xml:space="preserve">ítulo </w:t>
      </w:r>
      <w:r w:rsidRPr="00D64044">
        <w:t xml:space="preserve">V supone un  </w:t>
      </w:r>
      <w:r>
        <w:t>7,2</w:t>
      </w:r>
      <w:r w:rsidRPr="00D64044">
        <w:t xml:space="preserve"> % de los gastos totales.</w:t>
      </w:r>
    </w:p>
    <w:p w:rsidR="00D64044" w:rsidRDefault="00D64044" w:rsidP="00D64044">
      <w:pPr>
        <w:jc w:val="both"/>
      </w:pPr>
      <w:r>
        <w:t>Destaca claramente en este capítulo una reducción drástica de los gastos bancarios de mantenimiento de cuentas y comisiones. Se pasa de 1.100 €</w:t>
      </w:r>
      <w:r w:rsidR="0099534D">
        <w:t>/año</w:t>
      </w:r>
      <w:r>
        <w:t xml:space="preserve"> </w:t>
      </w:r>
      <w:r w:rsidR="0099534D">
        <w:t>en el Presupuesto de 2018 a 500 €/año para el Ejercicio 2019, reducción basada en los datos de gastos bancarios hasta noviembre de 2018 y en la previsión de cancelación de dos de las tres cuentas corrientes del colegio. La reducción real de los gastos bancarios durante 2018 se debe en gran parte a la gestión previa al envío de la remesa de cobro de las cuotas colegiales que ha permitido a su vez reducir la devolución de recibos y las comisiones asociadas.</w:t>
      </w:r>
    </w:p>
    <w:p w:rsidR="0099534D" w:rsidRDefault="0099534D" w:rsidP="00D64044">
      <w:pPr>
        <w:jc w:val="both"/>
      </w:pPr>
    </w:p>
    <w:p w:rsidR="0099534D" w:rsidRPr="0099534D" w:rsidRDefault="0099534D" w:rsidP="00D64044">
      <w:pPr>
        <w:jc w:val="both"/>
        <w:rPr>
          <w:b/>
        </w:rPr>
      </w:pPr>
      <w:r w:rsidRPr="0099534D">
        <w:rPr>
          <w:b/>
        </w:rPr>
        <w:t>CAPÍTULO VI: PARTICIPACIÓN EN EVENTOS</w:t>
      </w:r>
    </w:p>
    <w:p w:rsidR="0099534D" w:rsidRDefault="0099534D" w:rsidP="008B236D">
      <w:pPr>
        <w:jc w:val="both"/>
      </w:pPr>
      <w:r w:rsidRPr="0099534D">
        <w:t xml:space="preserve">El capítulo V supone un  </w:t>
      </w:r>
      <w:r>
        <w:t>2,3</w:t>
      </w:r>
      <w:r w:rsidRPr="0099534D">
        <w:t xml:space="preserve"> % de los gastos totales</w:t>
      </w:r>
      <w:r>
        <w:t>.</w:t>
      </w:r>
    </w:p>
    <w:p w:rsidR="0099534D" w:rsidRDefault="0099534D" w:rsidP="008B236D">
      <w:pPr>
        <w:jc w:val="both"/>
      </w:pPr>
      <w:r>
        <w:t>Se mantiene la partida destinada a la dotación del premio del Colegio para el Congreso Anual de Estudiantes de la Facultad de Química de la ULL, si bien esta partida no llegó a ejecutarse en el ejercicio actual al no ser reclamado el premio.</w:t>
      </w:r>
    </w:p>
    <w:p w:rsidR="0099534D" w:rsidRDefault="0099534D" w:rsidP="008B236D">
      <w:pPr>
        <w:jc w:val="both"/>
      </w:pPr>
      <w:r>
        <w:t xml:space="preserve">Se incrementa la partida destinada a la Subvención de los actos por la festividad de San Alberto, organizados por la AQIQC. El incremento se debe a la mayor afluencia de invitados y a la subida de los precios presupuestados </w:t>
      </w:r>
      <w:r w:rsidR="008B236D">
        <w:t>para el cóctel.</w:t>
      </w:r>
    </w:p>
    <w:p w:rsidR="0099534D" w:rsidRPr="008B236D" w:rsidRDefault="008B236D" w:rsidP="00D64044">
      <w:pPr>
        <w:jc w:val="both"/>
        <w:rPr>
          <w:b/>
        </w:rPr>
      </w:pPr>
      <w:r w:rsidRPr="008B236D">
        <w:rPr>
          <w:b/>
        </w:rPr>
        <w:lastRenderedPageBreak/>
        <w:t>INGRESOS</w:t>
      </w:r>
    </w:p>
    <w:p w:rsidR="008B236D" w:rsidRDefault="008B236D" w:rsidP="00D64044">
      <w:pPr>
        <w:jc w:val="both"/>
      </w:pPr>
      <w:r>
        <w:t xml:space="preserve">Respecto al Presupuesto 2018, se ha ajustado a la baja la previsión de ingresos por cuotas colegiales, pasando de 12.523,75 €/año a 12.000,00 €/año. Esto se debe a que aunque se ha producido un aumento neto de altas de colegiados durante lo que va de ejercicio 2018, se ha contemplado la devolución de recibos de cuotas colegiales </w:t>
      </w:r>
      <w:r w:rsidR="005174DD">
        <w:t>(</w:t>
      </w:r>
      <w:r>
        <w:t>419,26</w:t>
      </w:r>
      <w:r w:rsidR="005174DD">
        <w:t xml:space="preserve"> </w:t>
      </w:r>
      <w:proofErr w:type="gramStart"/>
      <w:r w:rsidR="005174DD">
        <w:t>€ )</w:t>
      </w:r>
      <w:proofErr w:type="gramEnd"/>
      <w:r w:rsidR="005174DD">
        <w:t xml:space="preserve"> que no se contemplaba en presupuestos anteriores.</w:t>
      </w:r>
    </w:p>
    <w:p w:rsidR="005174DD" w:rsidRDefault="005174DD" w:rsidP="00D64044">
      <w:pPr>
        <w:jc w:val="both"/>
      </w:pPr>
      <w:r>
        <w:t>Se ha ajustado a la baja la partida prevista para los ingresos por tasas de visado colegial. Esto se debe a la disponibilidad por primera vez de datos reales sobre estos ingresos derivados del servicio recientemente implantado de visado telemático. Las expectativas para 2019 son no obstante de aumento de los ingresos (400 € en lo que va de 2018), debido al número de altas en el portal de visado telemático.</w:t>
      </w:r>
    </w:p>
    <w:p w:rsidR="00F342F6" w:rsidRDefault="00F342F6" w:rsidP="00D64044">
      <w:pPr>
        <w:jc w:val="both"/>
      </w:pPr>
      <w:r>
        <w:t>Se mantienen los ingresos por publicidad aportados por PSN.</w:t>
      </w:r>
    </w:p>
    <w:p w:rsidR="008B236D" w:rsidRPr="00D64044" w:rsidRDefault="008B236D" w:rsidP="00D64044">
      <w:pPr>
        <w:jc w:val="both"/>
      </w:pPr>
    </w:p>
    <w:p w:rsidR="00CE5200" w:rsidRDefault="00CE5200" w:rsidP="00CE5200">
      <w:pPr>
        <w:jc w:val="both"/>
      </w:pPr>
    </w:p>
    <w:p w:rsidR="00D76B45" w:rsidRDefault="00F37E62" w:rsidP="00D76B45">
      <w:pPr>
        <w:jc w:val="right"/>
      </w:pPr>
      <w:r>
        <w:t>En San</w:t>
      </w:r>
      <w:r w:rsidR="00AE0727">
        <w:t>ta Cruz de Tenerife, a 1</w:t>
      </w:r>
      <w:r w:rsidR="004D0138">
        <w:t xml:space="preserve"> de noviembre</w:t>
      </w:r>
      <w:r w:rsidR="00D76B45">
        <w:t xml:space="preserve"> de 2018.</w:t>
      </w:r>
    </w:p>
    <w:p w:rsidR="00D76B45" w:rsidRDefault="00D76B45" w:rsidP="00D76B45">
      <w:pPr>
        <w:jc w:val="right"/>
      </w:pPr>
    </w:p>
    <w:p w:rsidR="00D76B45" w:rsidRDefault="00AE0727" w:rsidP="00D76B45">
      <w:pPr>
        <w:jc w:val="right"/>
      </w:pPr>
      <w:r>
        <w:t>Ezequiel Ortega Cuevas</w:t>
      </w:r>
    </w:p>
    <w:p w:rsidR="00D76B45" w:rsidRPr="003F6603" w:rsidRDefault="00AE0727" w:rsidP="00D76B45">
      <w:pPr>
        <w:jc w:val="right"/>
      </w:pPr>
      <w:r>
        <w:t>Tesorero</w:t>
      </w:r>
      <w:r w:rsidR="00F37E62">
        <w:t xml:space="preserve"> del Colegio</w:t>
      </w:r>
      <w:r w:rsidR="00D76B45">
        <w:t>.</w:t>
      </w:r>
    </w:p>
    <w:p w:rsidR="003F6603" w:rsidRPr="00961EB9" w:rsidRDefault="003F6603" w:rsidP="003F6603">
      <w:pPr>
        <w:rPr>
          <w:lang w:val="es-ES_tradnl"/>
        </w:rPr>
      </w:pPr>
    </w:p>
    <w:sectPr w:rsidR="003F6603" w:rsidRPr="00961EB9" w:rsidSect="0088785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C5" w:rsidRDefault="005D4CC5" w:rsidP="000E2FE9">
      <w:pPr>
        <w:spacing w:after="0" w:line="240" w:lineRule="auto"/>
      </w:pPr>
      <w:r>
        <w:separator/>
      </w:r>
    </w:p>
  </w:endnote>
  <w:endnote w:type="continuationSeparator" w:id="0">
    <w:p w:rsidR="005D4CC5" w:rsidRDefault="005D4CC5" w:rsidP="000E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A6" w:rsidRDefault="006726A6">
    <w:pPr>
      <w:pStyle w:val="Piedepgina"/>
    </w:pPr>
    <w:r>
      <w:rPr>
        <w:noProof/>
        <w:lang w:eastAsia="es-ES"/>
      </w:rPr>
      <mc:AlternateContent>
        <mc:Choice Requires="wps">
          <w:drawing>
            <wp:anchor distT="0" distB="0" distL="114300" distR="114300" simplePos="0" relativeHeight="251659264" behindDoc="0" locked="0" layoutInCell="1" allowOverlap="1" wp14:anchorId="647EF609" wp14:editId="75B19E5E">
              <wp:simplePos x="0" y="0"/>
              <wp:positionH relativeFrom="margin">
                <wp:posOffset>133350</wp:posOffset>
              </wp:positionH>
              <wp:positionV relativeFrom="page">
                <wp:posOffset>9938385</wp:posOffset>
              </wp:positionV>
              <wp:extent cx="5481955" cy="7404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19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6A6" w:rsidRDefault="00DB34F8" w:rsidP="006726A6">
                          <w:pPr>
                            <w:jc w:val="center"/>
                            <w:rPr>
                              <w:rFonts w:ascii="Calibri" w:hAnsi="Calibri"/>
                              <w:lang w:val="es-ES_tradnl"/>
                            </w:rPr>
                          </w:pPr>
                          <w:r>
                            <w:rPr>
                              <w:rFonts w:ascii="Calibri" w:hAnsi="Calibri"/>
                              <w:lang w:val="es-ES_tradnl"/>
                            </w:rPr>
                            <w:t>Colegio Oficial de Químicos de Canarias: C/ Castro</w:t>
                          </w:r>
                          <w:r w:rsidR="00826CDC">
                            <w:rPr>
                              <w:rFonts w:ascii="Calibri" w:hAnsi="Calibri"/>
                              <w:lang w:val="es-ES_tradnl"/>
                            </w:rPr>
                            <w:t xml:space="preserve">, </w:t>
                          </w:r>
                          <w:r>
                            <w:rPr>
                              <w:rFonts w:ascii="Calibri" w:hAnsi="Calibri"/>
                              <w:lang w:val="es-ES_tradnl"/>
                            </w:rPr>
                            <w:t xml:space="preserve">11, </w:t>
                          </w:r>
                          <w:r w:rsidR="00826CDC">
                            <w:rPr>
                              <w:rFonts w:ascii="Calibri" w:hAnsi="Calibri"/>
                              <w:lang w:val="es-ES_tradnl"/>
                            </w:rPr>
                            <w:t>1</w:t>
                          </w:r>
                          <w:r w:rsidR="0046175D">
                            <w:rPr>
                              <w:rFonts w:ascii="Calibri" w:hAnsi="Calibri"/>
                              <w:lang w:val="es-ES_tradnl"/>
                            </w:rPr>
                            <w:t>Izda – 38006</w:t>
                          </w:r>
                          <w:r w:rsidR="006726A6">
                            <w:rPr>
                              <w:rFonts w:ascii="Calibri" w:hAnsi="Calibri"/>
                              <w:lang w:val="es-ES_tradnl"/>
                            </w:rPr>
                            <w:t xml:space="preserve"> Santa Cruz de Tenerife, Islas Canarias, España.</w:t>
                          </w:r>
                        </w:p>
                        <w:p w:rsidR="006726A6" w:rsidRPr="00B1780A" w:rsidRDefault="005C2A63" w:rsidP="006726A6">
                          <w:pPr>
                            <w:jc w:val="center"/>
                            <w:rPr>
                              <w:rFonts w:ascii="Calibri" w:hAnsi="Calibri"/>
                              <w:lang w:val="en-US"/>
                            </w:rPr>
                          </w:pPr>
                          <w:proofErr w:type="gramStart"/>
                          <w:r>
                            <w:rPr>
                              <w:rFonts w:ascii="Calibri" w:hAnsi="Calibri"/>
                              <w:lang w:val="en-US"/>
                            </w:rPr>
                            <w:t>Tfno.:</w:t>
                          </w:r>
                          <w:proofErr w:type="gramEnd"/>
                          <w:r>
                            <w:rPr>
                              <w:rFonts w:ascii="Calibri" w:hAnsi="Calibri"/>
                              <w:lang w:val="en-US"/>
                            </w:rPr>
                            <w:t xml:space="preserve"> 922 27 50 65</w:t>
                          </w:r>
                          <w:r w:rsidR="006726A6" w:rsidRPr="00B1780A">
                            <w:rPr>
                              <w:rFonts w:ascii="Calibri" w:hAnsi="Calibri"/>
                              <w:lang w:val="en-US"/>
                            </w:rPr>
                            <w:t xml:space="preserve">   Web: </w:t>
                          </w:r>
                          <w:r w:rsidR="0046175D">
                            <w:rPr>
                              <w:rFonts w:ascii="Calibri" w:hAnsi="Calibri"/>
                              <w:lang w:val="en-US"/>
                            </w:rPr>
                            <w:t>www.colequi</w:t>
                          </w:r>
                          <w:r w:rsidR="00887856">
                            <w:rPr>
                              <w:rFonts w:ascii="Calibri" w:hAnsi="Calibri"/>
                              <w:lang w:val="en-US"/>
                            </w:rPr>
                            <w:t>mcan.es    Email: secretaria</w:t>
                          </w:r>
                          <w:r w:rsidR="0046175D">
                            <w:rPr>
                              <w:rFonts w:ascii="Calibri" w:hAnsi="Calibri"/>
                              <w:lang w:val="en-US"/>
                            </w:rPr>
                            <w:t>@colequimcan.es</w:t>
                          </w:r>
                        </w:p>
                        <w:p w:rsidR="006726A6" w:rsidRPr="00B1780A" w:rsidRDefault="006726A6" w:rsidP="006726A6">
                          <w:pPr>
                            <w:jc w:val="center"/>
                            <w:rPr>
                              <w:rFonts w:ascii="Calibri" w:hAnsi="Calibri"/>
                              <w:lang w:val="en-US"/>
                            </w:rPr>
                          </w:pPr>
                        </w:p>
                        <w:p w:rsidR="006726A6" w:rsidRPr="00B1780A" w:rsidRDefault="006726A6" w:rsidP="006726A6">
                          <w:pPr>
                            <w:jc w:val="center"/>
                            <w:rPr>
                              <w:lang w:val="en-US"/>
                            </w:rPr>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647EF609" id="Rectangle 459" o:spid="_x0000_s1027" style="position:absolute;margin-left:10.5pt;margin-top:782.55pt;width:431.65pt;height:58.3pt;z-index:251659264;visibility:visible;mso-wrap-style:square;mso-width-percent:1000;mso-height-percent:810;mso-wrap-distance-left:9pt;mso-wrap-distance-top:0;mso-wrap-distance-right:9pt;mso-wrap-distance-bottom:0;mso-position-horizontal:absolute;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" filled="f" stroked="f">
              <v:textbox inset=",0">
                <w:txbxContent>
                  <w:p w:rsidR="006726A6" w:rsidRDefault="00DB34F8" w:rsidP="006726A6">
                    <w:pPr>
                      <w:jc w:val="center"/>
                      <w:rPr>
                        <w:rFonts w:ascii="Calibri" w:hAnsi="Calibri"/>
                        <w:lang w:val="es-ES_tradnl"/>
                      </w:rPr>
                    </w:pPr>
                    <w:r>
                      <w:rPr>
                        <w:rFonts w:ascii="Calibri" w:hAnsi="Calibri"/>
                        <w:lang w:val="es-ES_tradnl"/>
                      </w:rPr>
                      <w:t>Colegio Oficial de Químicos de Canarias: C/ Castro</w:t>
                    </w:r>
                    <w:r w:rsidR="00826CDC">
                      <w:rPr>
                        <w:rFonts w:ascii="Calibri" w:hAnsi="Calibri"/>
                        <w:lang w:val="es-ES_tradnl"/>
                      </w:rPr>
                      <w:t xml:space="preserve">, </w:t>
                    </w:r>
                    <w:r>
                      <w:rPr>
                        <w:rFonts w:ascii="Calibri" w:hAnsi="Calibri"/>
                        <w:lang w:val="es-ES_tradnl"/>
                      </w:rPr>
                      <w:t xml:space="preserve">11, </w:t>
                    </w:r>
                    <w:r w:rsidR="00826CDC">
                      <w:rPr>
                        <w:rFonts w:ascii="Calibri" w:hAnsi="Calibri"/>
                        <w:lang w:val="es-ES_tradnl"/>
                      </w:rPr>
                      <w:t>1</w:t>
                    </w:r>
                    <w:r w:rsidR="0046175D">
                      <w:rPr>
                        <w:rFonts w:ascii="Calibri" w:hAnsi="Calibri"/>
                        <w:lang w:val="es-ES_tradnl"/>
                      </w:rPr>
                      <w:t>Izda – 38006</w:t>
                    </w:r>
                    <w:r w:rsidR="006726A6">
                      <w:rPr>
                        <w:rFonts w:ascii="Calibri" w:hAnsi="Calibri"/>
                        <w:lang w:val="es-ES_tradnl"/>
                      </w:rPr>
                      <w:t xml:space="preserve"> Santa Cruz de Tenerife, Islas Canarias, España.</w:t>
                    </w:r>
                  </w:p>
                  <w:p w:rsidR="006726A6" w:rsidRPr="00B1780A" w:rsidRDefault="005C2A63" w:rsidP="006726A6">
                    <w:pPr>
                      <w:jc w:val="center"/>
                      <w:rPr>
                        <w:rFonts w:ascii="Calibri" w:hAnsi="Calibri"/>
                        <w:lang w:val="en-US"/>
                      </w:rPr>
                    </w:pPr>
                    <w:proofErr w:type="gramStart"/>
                    <w:r>
                      <w:rPr>
                        <w:rFonts w:ascii="Calibri" w:hAnsi="Calibri"/>
                        <w:lang w:val="en-US"/>
                      </w:rPr>
                      <w:t>Tfno.:</w:t>
                    </w:r>
                    <w:proofErr w:type="gramEnd"/>
                    <w:r>
                      <w:rPr>
                        <w:rFonts w:ascii="Calibri" w:hAnsi="Calibri"/>
                        <w:lang w:val="en-US"/>
                      </w:rPr>
                      <w:t xml:space="preserve"> 922 27 50 65</w:t>
                    </w:r>
                    <w:r w:rsidR="006726A6" w:rsidRPr="00B1780A">
                      <w:rPr>
                        <w:rFonts w:ascii="Calibri" w:hAnsi="Calibri"/>
                        <w:lang w:val="en-US"/>
                      </w:rPr>
                      <w:t xml:space="preserve">   Web: </w:t>
                    </w:r>
                    <w:r w:rsidR="0046175D">
                      <w:rPr>
                        <w:rFonts w:ascii="Calibri" w:hAnsi="Calibri"/>
                        <w:lang w:val="en-US"/>
                      </w:rPr>
                      <w:t>www.colequi</w:t>
                    </w:r>
                    <w:r w:rsidR="00887856">
                      <w:rPr>
                        <w:rFonts w:ascii="Calibri" w:hAnsi="Calibri"/>
                        <w:lang w:val="en-US"/>
                      </w:rPr>
                      <w:t>mcan.es    Email: secretaria</w:t>
                    </w:r>
                    <w:r w:rsidR="0046175D">
                      <w:rPr>
                        <w:rFonts w:ascii="Calibri" w:hAnsi="Calibri"/>
                        <w:lang w:val="en-US"/>
                      </w:rPr>
                      <w:t>@colequimcan.es</w:t>
                    </w:r>
                  </w:p>
                  <w:p w:rsidR="006726A6" w:rsidRPr="00B1780A" w:rsidRDefault="006726A6" w:rsidP="006726A6">
                    <w:pPr>
                      <w:jc w:val="center"/>
                      <w:rPr>
                        <w:rFonts w:ascii="Calibri" w:hAnsi="Calibri"/>
                        <w:lang w:val="en-US"/>
                      </w:rPr>
                    </w:pPr>
                  </w:p>
                  <w:p w:rsidR="006726A6" w:rsidRPr="00B1780A" w:rsidRDefault="006726A6" w:rsidP="006726A6">
                    <w:pPr>
                      <w:jc w:val="center"/>
                      <w:rPr>
                        <w:lang w:val="en-US"/>
                      </w:rPr>
                    </w:pP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C5" w:rsidRDefault="005D4CC5" w:rsidP="000E2FE9">
      <w:pPr>
        <w:spacing w:after="0" w:line="240" w:lineRule="auto"/>
      </w:pPr>
      <w:r>
        <w:separator/>
      </w:r>
    </w:p>
  </w:footnote>
  <w:footnote w:type="continuationSeparator" w:id="0">
    <w:p w:rsidR="005D4CC5" w:rsidRDefault="005D4CC5" w:rsidP="000E2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560" w:type="dxa"/>
      <w:tblLook w:val="04A0" w:firstRow="1" w:lastRow="0" w:firstColumn="1" w:lastColumn="0" w:noHBand="0" w:noVBand="1"/>
    </w:tblPr>
    <w:tblGrid>
      <w:gridCol w:w="3519"/>
      <w:gridCol w:w="3293"/>
      <w:gridCol w:w="2748"/>
    </w:tblGrid>
    <w:tr w:rsidR="00385F6B" w:rsidTr="006726A6">
      <w:trPr>
        <w:trHeight w:val="273"/>
      </w:trPr>
      <w:tc>
        <w:tcPr>
          <w:tcW w:w="2547" w:type="dxa"/>
          <w:vMerge w:val="restart"/>
        </w:tcPr>
        <w:p w:rsidR="00385F6B" w:rsidRDefault="005D4CC5" w:rsidP="00385F6B">
          <w:pPr>
            <w:pStyle w:val="Encabezado"/>
            <w:jc w:val="center"/>
          </w:pPr>
          <w:sdt>
            <w:sdtPr>
              <w:id w:val="-1704319238"/>
              <w:docPartObj>
                <w:docPartGallery w:val="Page Numbers (Margins)"/>
                <w:docPartUnique/>
              </w:docPartObj>
            </w:sdtPr>
            <w:sdtEndPr/>
            <w:sdtContent/>
          </w:sdt>
          <w:r w:rsidR="00F23787">
            <w:rPr>
              <w:noProof/>
              <w:lang w:eastAsia="es-ES"/>
            </w:rPr>
            <w:drawing>
              <wp:inline distT="0" distB="0" distL="0" distR="0" wp14:anchorId="560F4654" wp14:editId="2309E061">
                <wp:extent cx="2097405" cy="7073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707390"/>
                        </a:xfrm>
                        <a:prstGeom prst="rect">
                          <a:avLst/>
                        </a:prstGeom>
                        <a:noFill/>
                      </pic:spPr>
                    </pic:pic>
                  </a:graphicData>
                </a:graphic>
              </wp:inline>
            </w:drawing>
          </w:r>
        </w:p>
      </w:tc>
      <w:tc>
        <w:tcPr>
          <w:tcW w:w="3825" w:type="dxa"/>
        </w:tcPr>
        <w:p w:rsidR="00385F6B" w:rsidRPr="00DB34F8" w:rsidRDefault="0011763C" w:rsidP="00DB34F8">
          <w:pPr>
            <w:pStyle w:val="Encabezado"/>
            <w:jc w:val="center"/>
            <w:rPr>
              <w:b/>
            </w:rPr>
          </w:pPr>
          <w:r>
            <w:rPr>
              <w:b/>
            </w:rPr>
            <w:t>DOCUMENTO</w:t>
          </w:r>
        </w:p>
      </w:tc>
      <w:tc>
        <w:tcPr>
          <w:tcW w:w="3188" w:type="dxa"/>
        </w:tcPr>
        <w:p w:rsidR="00385F6B" w:rsidRPr="00DB34F8" w:rsidRDefault="006505B7" w:rsidP="00DB34F8">
          <w:pPr>
            <w:pStyle w:val="Encabezado"/>
            <w:jc w:val="center"/>
            <w:rPr>
              <w:b/>
            </w:rPr>
          </w:pPr>
          <w:r>
            <w:rPr>
              <w:b/>
            </w:rPr>
            <w:t>F</w:t>
          </w:r>
          <w:r w:rsidR="00385F6B" w:rsidRPr="00DB34F8">
            <w:rPr>
              <w:b/>
            </w:rPr>
            <w:t>echa</w:t>
          </w:r>
        </w:p>
      </w:tc>
    </w:tr>
    <w:tr w:rsidR="00385F6B" w:rsidTr="006726A6">
      <w:trPr>
        <w:trHeight w:val="821"/>
      </w:trPr>
      <w:tc>
        <w:tcPr>
          <w:tcW w:w="2547" w:type="dxa"/>
          <w:vMerge/>
        </w:tcPr>
        <w:p w:rsidR="00385F6B" w:rsidRDefault="00385F6B">
          <w:pPr>
            <w:pStyle w:val="Encabezado"/>
          </w:pPr>
        </w:p>
      </w:tc>
      <w:tc>
        <w:tcPr>
          <w:tcW w:w="3825" w:type="dxa"/>
        </w:tcPr>
        <w:p w:rsidR="00385F6B" w:rsidRDefault="00887856" w:rsidP="00D91AE4">
          <w:pPr>
            <w:pStyle w:val="Encabezado"/>
            <w:jc w:val="center"/>
          </w:pPr>
          <w:r>
            <w:t>PRESUPUESTO 2019</w:t>
          </w:r>
        </w:p>
      </w:tc>
      <w:tc>
        <w:tcPr>
          <w:tcW w:w="3188" w:type="dxa"/>
        </w:tcPr>
        <w:p w:rsidR="00385F6B" w:rsidRDefault="00887856" w:rsidP="006505B7">
          <w:pPr>
            <w:pStyle w:val="Encabezado"/>
          </w:pPr>
          <w:r>
            <w:t>01</w:t>
          </w:r>
          <w:r w:rsidR="00B86148">
            <w:t>/11</w:t>
          </w:r>
          <w:r w:rsidR="00CB4D69">
            <w:t>/2018</w:t>
          </w:r>
        </w:p>
      </w:tc>
    </w:tr>
  </w:tbl>
  <w:p w:rsidR="000E2FE9" w:rsidRDefault="00E54197">
    <w:pPr>
      <w:pStyle w:val="Encabezado"/>
    </w:pPr>
    <w:r>
      <w:rPr>
        <w:rFonts w:asciiTheme="majorHAnsi" w:eastAsiaTheme="majorEastAsia" w:hAnsiTheme="majorHAnsi" w:cstheme="majorBidi"/>
        <w:noProof/>
        <w:sz w:val="28"/>
        <w:szCs w:val="28"/>
        <w:lang w:eastAsia="es-ES"/>
      </w:rPr>
      <mc:AlternateContent>
        <mc:Choice Requires="wps">
          <w:drawing>
            <wp:anchor distT="0" distB="0" distL="114300" distR="114300" simplePos="0" relativeHeight="251661312" behindDoc="0" locked="0" layoutInCell="0" allowOverlap="1" wp14:anchorId="1990C100" wp14:editId="6148E561">
              <wp:simplePos x="0" y="0"/>
              <wp:positionH relativeFrom="rightMargin">
                <wp:posOffset>-6155690</wp:posOffset>
              </wp:positionH>
              <wp:positionV relativeFrom="page">
                <wp:posOffset>246380</wp:posOffset>
              </wp:positionV>
              <wp:extent cx="477520" cy="477520"/>
              <wp:effectExtent l="0" t="0" r="0" b="0"/>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noFill/>
                      <a:ln>
                        <a:noFill/>
                      </a:ln>
                    </wps:spPr>
                    <wps:txbx>
                      <w:txbxContent>
                        <w:p w:rsidR="00E54197" w:rsidRPr="00E54197" w:rsidRDefault="00E54197">
                          <w:pPr>
                            <w:rPr>
                              <w:rStyle w:val="Nmerodepgina"/>
                              <w:szCs w:val="24"/>
                            </w:rPr>
                          </w:pPr>
                          <w:r w:rsidRPr="00E54197">
                            <w:fldChar w:fldCharType="begin"/>
                          </w:r>
                          <w:r w:rsidRPr="00E54197">
                            <w:instrText>PAGE    \* MERGEFORMAT</w:instrText>
                          </w:r>
                          <w:r w:rsidRPr="00E54197">
                            <w:fldChar w:fldCharType="separate"/>
                          </w:r>
                          <w:r w:rsidR="00AE0727" w:rsidRPr="00AE0727">
                            <w:rPr>
                              <w:rStyle w:val="Nmerodepgina"/>
                              <w:b/>
                              <w:bCs/>
                              <w:noProof/>
                              <w:sz w:val="24"/>
                              <w:szCs w:val="24"/>
                            </w:rPr>
                            <w:t>4</w:t>
                          </w:r>
                          <w:r w:rsidRPr="00E54197">
                            <w:rPr>
                              <w:rStyle w:val="Nmerodepgina"/>
                              <w:b/>
                              <w:bCs/>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0C100" id="Elipse 4" o:spid="_x0000_s1026" style="position:absolute;margin-left:-484.7pt;margin-top:19.4pt;width:37.6pt;height:37.6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" o:allowincell="f" filled="f" stroked="f">
              <v:textbox inset="0,,0">
                <w:txbxContent>
                  <w:p w:rsidR="00E54197" w:rsidRPr="00E54197" w:rsidRDefault="00E54197">
                    <w:pPr>
                      <w:rPr>
                        <w:rStyle w:val="Nmerodepgina"/>
                        <w:szCs w:val="24"/>
                      </w:rPr>
                    </w:pPr>
                    <w:r w:rsidRPr="00E54197">
                      <w:fldChar w:fldCharType="begin"/>
                    </w:r>
                    <w:r w:rsidRPr="00E54197">
                      <w:instrText>PAGE    \* MERGEFORMAT</w:instrText>
                    </w:r>
                    <w:r w:rsidRPr="00E54197">
                      <w:fldChar w:fldCharType="separate"/>
                    </w:r>
                    <w:r w:rsidR="00AE0727" w:rsidRPr="00AE0727">
                      <w:rPr>
                        <w:rStyle w:val="Nmerodepgina"/>
                        <w:b/>
                        <w:bCs/>
                        <w:noProof/>
                        <w:sz w:val="24"/>
                        <w:szCs w:val="24"/>
                      </w:rPr>
                      <w:t>4</w:t>
                    </w:r>
                    <w:r w:rsidRPr="00E54197">
                      <w:rPr>
                        <w:rStyle w:val="Nmerodepgina"/>
                        <w:b/>
                        <w:bCs/>
                        <w:sz w:val="24"/>
                        <w:szCs w:val="24"/>
                      </w:rPr>
                      <w:fldChar w:fldCharType="end"/>
                    </w:r>
                  </w:p>
                </w:txbxContent>
              </v:textbox>
              <w10:wrap anchorx="margin" anchory="page"/>
            </v:oval>
          </w:pict>
        </mc:Fallback>
      </mc:AlternateContent>
    </w:r>
  </w:p>
  <w:p w:rsidR="000E2FE9" w:rsidRPr="00E54197" w:rsidRDefault="000E2FE9">
    <w:pPr>
      <w:pStyle w:val="Encabezado"/>
      <w:rPr>
        <w:color w:val="FFFFFF" w:themeColor="background1"/>
        <w14:textFill>
          <w14:no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3244"/>
    <w:multiLevelType w:val="hybridMultilevel"/>
    <w:tmpl w:val="04207E00"/>
    <w:lvl w:ilvl="0" w:tplc="38940F6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3516767"/>
    <w:multiLevelType w:val="multilevel"/>
    <w:tmpl w:val="FCFE3078"/>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41428FE"/>
    <w:multiLevelType w:val="hybridMultilevel"/>
    <w:tmpl w:val="BE9C225A"/>
    <w:lvl w:ilvl="0" w:tplc="AAEC954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04241920"/>
    <w:multiLevelType w:val="hybridMultilevel"/>
    <w:tmpl w:val="20468610"/>
    <w:lvl w:ilvl="0" w:tplc="9E3E3BE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5EB27F7"/>
    <w:multiLevelType w:val="hybridMultilevel"/>
    <w:tmpl w:val="CE66C4E6"/>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09886A33"/>
    <w:multiLevelType w:val="hybridMultilevel"/>
    <w:tmpl w:val="9C342370"/>
    <w:lvl w:ilvl="0" w:tplc="C6983E9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2D939DD"/>
    <w:multiLevelType w:val="hybridMultilevel"/>
    <w:tmpl w:val="FB36DEF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1D34F7"/>
    <w:multiLevelType w:val="hybridMultilevel"/>
    <w:tmpl w:val="76947EB6"/>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1637D6"/>
    <w:multiLevelType w:val="hybridMultilevel"/>
    <w:tmpl w:val="8C60BD8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195ECB"/>
    <w:multiLevelType w:val="hybridMultilevel"/>
    <w:tmpl w:val="D9D2DA56"/>
    <w:lvl w:ilvl="0" w:tplc="AAEC954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914930"/>
    <w:multiLevelType w:val="hybridMultilevel"/>
    <w:tmpl w:val="E57425AE"/>
    <w:lvl w:ilvl="0" w:tplc="AAEC954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525D3F"/>
    <w:multiLevelType w:val="hybridMultilevel"/>
    <w:tmpl w:val="C2B65206"/>
    <w:lvl w:ilvl="0" w:tplc="CD943D2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32DB4A19"/>
    <w:multiLevelType w:val="hybridMultilevel"/>
    <w:tmpl w:val="A95CAE70"/>
    <w:lvl w:ilvl="0" w:tplc="1D8E4C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3C217375"/>
    <w:multiLevelType w:val="hybridMultilevel"/>
    <w:tmpl w:val="1A6CE2A2"/>
    <w:lvl w:ilvl="0" w:tplc="AAEC954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F658E1"/>
    <w:multiLevelType w:val="hybridMultilevel"/>
    <w:tmpl w:val="7A26A90E"/>
    <w:lvl w:ilvl="0" w:tplc="174C16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C36E60"/>
    <w:multiLevelType w:val="hybridMultilevel"/>
    <w:tmpl w:val="52DAE0B2"/>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nsid w:val="4A3810F8"/>
    <w:multiLevelType w:val="hybridMultilevel"/>
    <w:tmpl w:val="B900B5F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1EB76F4"/>
    <w:multiLevelType w:val="hybridMultilevel"/>
    <w:tmpl w:val="085C1D5C"/>
    <w:lvl w:ilvl="0" w:tplc="425AD9D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5622150D"/>
    <w:multiLevelType w:val="hybridMultilevel"/>
    <w:tmpl w:val="EECCBA36"/>
    <w:lvl w:ilvl="0" w:tplc="527CE93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80B677A"/>
    <w:multiLevelType w:val="hybridMultilevel"/>
    <w:tmpl w:val="C71E69A0"/>
    <w:lvl w:ilvl="0" w:tplc="BB22ABC8">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5813117F"/>
    <w:multiLevelType w:val="hybridMultilevel"/>
    <w:tmpl w:val="DCA4FF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4A77F8"/>
    <w:multiLevelType w:val="hybridMultilevel"/>
    <w:tmpl w:val="09961BB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02F187E"/>
    <w:multiLevelType w:val="hybridMultilevel"/>
    <w:tmpl w:val="6D8E4B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70C6A88"/>
    <w:multiLevelType w:val="hybridMultilevel"/>
    <w:tmpl w:val="45148BCE"/>
    <w:lvl w:ilvl="0" w:tplc="FC76FFE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77E317D4"/>
    <w:multiLevelType w:val="hybridMultilevel"/>
    <w:tmpl w:val="2C04F6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7EA3026F"/>
    <w:multiLevelType w:val="hybridMultilevel"/>
    <w:tmpl w:val="3692F7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0"/>
  </w:num>
  <w:num w:numId="5">
    <w:abstractNumId w:val="23"/>
  </w:num>
  <w:num w:numId="6">
    <w:abstractNumId w:val="17"/>
  </w:num>
  <w:num w:numId="7">
    <w:abstractNumId w:val="12"/>
  </w:num>
  <w:num w:numId="8">
    <w:abstractNumId w:val="19"/>
  </w:num>
  <w:num w:numId="9">
    <w:abstractNumId w:val="4"/>
  </w:num>
  <w:num w:numId="10">
    <w:abstractNumId w:val="15"/>
  </w:num>
  <w:num w:numId="11">
    <w:abstractNumId w:val="24"/>
  </w:num>
  <w:num w:numId="12">
    <w:abstractNumId w:val="25"/>
  </w:num>
  <w:num w:numId="13">
    <w:abstractNumId w:val="2"/>
  </w:num>
  <w:num w:numId="14">
    <w:abstractNumId w:val="14"/>
  </w:num>
  <w:num w:numId="15">
    <w:abstractNumId w:val="13"/>
  </w:num>
  <w:num w:numId="16">
    <w:abstractNumId w:val="10"/>
  </w:num>
  <w:num w:numId="17">
    <w:abstractNumId w:val="9"/>
  </w:num>
  <w:num w:numId="18">
    <w:abstractNumId w:val="16"/>
  </w:num>
  <w:num w:numId="19">
    <w:abstractNumId w:val="22"/>
  </w:num>
  <w:num w:numId="20">
    <w:abstractNumId w:val="7"/>
  </w:num>
  <w:num w:numId="21">
    <w:abstractNumId w:val="5"/>
  </w:num>
  <w:num w:numId="22">
    <w:abstractNumId w:val="20"/>
  </w:num>
  <w:num w:numId="23">
    <w:abstractNumId w:val="6"/>
  </w:num>
  <w:num w:numId="24">
    <w:abstractNumId w:val="18"/>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E6"/>
    <w:rsid w:val="00003263"/>
    <w:rsid w:val="000358F2"/>
    <w:rsid w:val="00050A9D"/>
    <w:rsid w:val="0005297F"/>
    <w:rsid w:val="0005315C"/>
    <w:rsid w:val="00054558"/>
    <w:rsid w:val="00070AC6"/>
    <w:rsid w:val="00083479"/>
    <w:rsid w:val="000A4558"/>
    <w:rsid w:val="000A6DEC"/>
    <w:rsid w:val="000B2384"/>
    <w:rsid w:val="000B7346"/>
    <w:rsid w:val="000B7433"/>
    <w:rsid w:val="000B77E6"/>
    <w:rsid w:val="000C6CDE"/>
    <w:rsid w:val="000C6D7C"/>
    <w:rsid w:val="000E2FE9"/>
    <w:rsid w:val="00100D48"/>
    <w:rsid w:val="00112152"/>
    <w:rsid w:val="00114863"/>
    <w:rsid w:val="0011763C"/>
    <w:rsid w:val="00123B68"/>
    <w:rsid w:val="001317F8"/>
    <w:rsid w:val="001327EE"/>
    <w:rsid w:val="001437C3"/>
    <w:rsid w:val="00155AFD"/>
    <w:rsid w:val="001867ED"/>
    <w:rsid w:val="001C0A87"/>
    <w:rsid w:val="001C1F7F"/>
    <w:rsid w:val="001E4EB5"/>
    <w:rsid w:val="001F53AE"/>
    <w:rsid w:val="001F722A"/>
    <w:rsid w:val="00213B84"/>
    <w:rsid w:val="00244C89"/>
    <w:rsid w:val="00253CEA"/>
    <w:rsid w:val="00265D22"/>
    <w:rsid w:val="002A146B"/>
    <w:rsid w:val="002C6FFA"/>
    <w:rsid w:val="002F057C"/>
    <w:rsid w:val="00303D6B"/>
    <w:rsid w:val="00332143"/>
    <w:rsid w:val="00333CF1"/>
    <w:rsid w:val="0034699E"/>
    <w:rsid w:val="00375742"/>
    <w:rsid w:val="00385F6B"/>
    <w:rsid w:val="00397820"/>
    <w:rsid w:val="00397D44"/>
    <w:rsid w:val="003A3E83"/>
    <w:rsid w:val="003B41AD"/>
    <w:rsid w:val="003C525A"/>
    <w:rsid w:val="003D0F69"/>
    <w:rsid w:val="003E0D05"/>
    <w:rsid w:val="003E6891"/>
    <w:rsid w:val="003F6603"/>
    <w:rsid w:val="00401E96"/>
    <w:rsid w:val="004108BD"/>
    <w:rsid w:val="004231CA"/>
    <w:rsid w:val="00453FBE"/>
    <w:rsid w:val="0046175D"/>
    <w:rsid w:val="0046304C"/>
    <w:rsid w:val="00463E43"/>
    <w:rsid w:val="004A58AF"/>
    <w:rsid w:val="004B012D"/>
    <w:rsid w:val="004D0138"/>
    <w:rsid w:val="004D7640"/>
    <w:rsid w:val="004F5784"/>
    <w:rsid w:val="005110D3"/>
    <w:rsid w:val="00516253"/>
    <w:rsid w:val="00516BDB"/>
    <w:rsid w:val="00517012"/>
    <w:rsid w:val="005174DD"/>
    <w:rsid w:val="00527F17"/>
    <w:rsid w:val="00545376"/>
    <w:rsid w:val="00547C6D"/>
    <w:rsid w:val="00550137"/>
    <w:rsid w:val="00560245"/>
    <w:rsid w:val="00571637"/>
    <w:rsid w:val="0058183C"/>
    <w:rsid w:val="0058400A"/>
    <w:rsid w:val="005862B4"/>
    <w:rsid w:val="0059460D"/>
    <w:rsid w:val="005A3EA5"/>
    <w:rsid w:val="005C2A63"/>
    <w:rsid w:val="005D4CC5"/>
    <w:rsid w:val="005E4531"/>
    <w:rsid w:val="005E61A6"/>
    <w:rsid w:val="005F2CB6"/>
    <w:rsid w:val="006505B7"/>
    <w:rsid w:val="00662658"/>
    <w:rsid w:val="006726A6"/>
    <w:rsid w:val="006824C9"/>
    <w:rsid w:val="006A26D5"/>
    <w:rsid w:val="006B3729"/>
    <w:rsid w:val="006C4F6B"/>
    <w:rsid w:val="007050E1"/>
    <w:rsid w:val="0074286C"/>
    <w:rsid w:val="00751058"/>
    <w:rsid w:val="00756DE6"/>
    <w:rsid w:val="0076588E"/>
    <w:rsid w:val="007912CD"/>
    <w:rsid w:val="007A5EA2"/>
    <w:rsid w:val="007C1C28"/>
    <w:rsid w:val="007D46C4"/>
    <w:rsid w:val="007F032E"/>
    <w:rsid w:val="007F0AB8"/>
    <w:rsid w:val="00800BF4"/>
    <w:rsid w:val="008046E5"/>
    <w:rsid w:val="00826CDC"/>
    <w:rsid w:val="00855E14"/>
    <w:rsid w:val="00887856"/>
    <w:rsid w:val="008B236D"/>
    <w:rsid w:val="008F7196"/>
    <w:rsid w:val="0090556C"/>
    <w:rsid w:val="00946D12"/>
    <w:rsid w:val="0095710A"/>
    <w:rsid w:val="00961EB9"/>
    <w:rsid w:val="00974BF8"/>
    <w:rsid w:val="0099534D"/>
    <w:rsid w:val="009A4A37"/>
    <w:rsid w:val="009D5213"/>
    <w:rsid w:val="009D69C3"/>
    <w:rsid w:val="009D7EC7"/>
    <w:rsid w:val="009F1102"/>
    <w:rsid w:val="009F1AAF"/>
    <w:rsid w:val="009F77B2"/>
    <w:rsid w:val="00A167D6"/>
    <w:rsid w:val="00A261C7"/>
    <w:rsid w:val="00A377ED"/>
    <w:rsid w:val="00A43359"/>
    <w:rsid w:val="00A546D9"/>
    <w:rsid w:val="00A8500D"/>
    <w:rsid w:val="00AA18D1"/>
    <w:rsid w:val="00AB2373"/>
    <w:rsid w:val="00AC7FDD"/>
    <w:rsid w:val="00AE0727"/>
    <w:rsid w:val="00AE6102"/>
    <w:rsid w:val="00AF1700"/>
    <w:rsid w:val="00B1780A"/>
    <w:rsid w:val="00B3002E"/>
    <w:rsid w:val="00B37C02"/>
    <w:rsid w:val="00B45B40"/>
    <w:rsid w:val="00B54BCC"/>
    <w:rsid w:val="00B86148"/>
    <w:rsid w:val="00BB6643"/>
    <w:rsid w:val="00BC29F9"/>
    <w:rsid w:val="00BF054B"/>
    <w:rsid w:val="00C243DA"/>
    <w:rsid w:val="00C3065D"/>
    <w:rsid w:val="00C30D6E"/>
    <w:rsid w:val="00C63112"/>
    <w:rsid w:val="00C64238"/>
    <w:rsid w:val="00CB1639"/>
    <w:rsid w:val="00CB4D69"/>
    <w:rsid w:val="00CC2EC5"/>
    <w:rsid w:val="00CE5200"/>
    <w:rsid w:val="00CE7377"/>
    <w:rsid w:val="00CF7C4E"/>
    <w:rsid w:val="00D124B6"/>
    <w:rsid w:val="00D4037A"/>
    <w:rsid w:val="00D64044"/>
    <w:rsid w:val="00D6727F"/>
    <w:rsid w:val="00D76B45"/>
    <w:rsid w:val="00D91AE4"/>
    <w:rsid w:val="00D94C09"/>
    <w:rsid w:val="00DA4399"/>
    <w:rsid w:val="00DB34F8"/>
    <w:rsid w:val="00DB4A86"/>
    <w:rsid w:val="00DB66AB"/>
    <w:rsid w:val="00DC6CCF"/>
    <w:rsid w:val="00DE0D93"/>
    <w:rsid w:val="00E1182C"/>
    <w:rsid w:val="00E206ED"/>
    <w:rsid w:val="00E4161B"/>
    <w:rsid w:val="00E45982"/>
    <w:rsid w:val="00E54197"/>
    <w:rsid w:val="00E8033D"/>
    <w:rsid w:val="00E8664B"/>
    <w:rsid w:val="00E95877"/>
    <w:rsid w:val="00EA2B02"/>
    <w:rsid w:val="00EA3DDC"/>
    <w:rsid w:val="00EB1921"/>
    <w:rsid w:val="00ED32E3"/>
    <w:rsid w:val="00ED7DDD"/>
    <w:rsid w:val="00F14846"/>
    <w:rsid w:val="00F23787"/>
    <w:rsid w:val="00F342F6"/>
    <w:rsid w:val="00F37E62"/>
    <w:rsid w:val="00F422AF"/>
    <w:rsid w:val="00F45B0F"/>
    <w:rsid w:val="00F94DFA"/>
    <w:rsid w:val="00F961F6"/>
    <w:rsid w:val="00FA2D14"/>
    <w:rsid w:val="00FB487F"/>
    <w:rsid w:val="00FF2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311465-A619-45A9-9620-EEC7E5F2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2F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2FE9"/>
  </w:style>
  <w:style w:type="paragraph" w:styleId="Piedepgina">
    <w:name w:val="footer"/>
    <w:basedOn w:val="Normal"/>
    <w:link w:val="PiedepginaCar"/>
    <w:uiPriority w:val="99"/>
    <w:unhideWhenUsed/>
    <w:rsid w:val="000E2F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2FE9"/>
  </w:style>
  <w:style w:type="table" w:styleId="Tablaconcuadrcula">
    <w:name w:val="Table Grid"/>
    <w:basedOn w:val="Tablanormal"/>
    <w:uiPriority w:val="39"/>
    <w:rsid w:val="000E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E2FE9"/>
    <w:pPr>
      <w:ind w:left="720"/>
      <w:contextualSpacing/>
    </w:pPr>
  </w:style>
  <w:style w:type="character" w:styleId="Hipervnculo">
    <w:name w:val="Hyperlink"/>
    <w:basedOn w:val="Fuentedeprrafopredeter"/>
    <w:uiPriority w:val="99"/>
    <w:unhideWhenUsed/>
    <w:rsid w:val="00C30D6E"/>
    <w:rPr>
      <w:color w:val="0563C1" w:themeColor="hyperlink"/>
      <w:u w:val="single"/>
    </w:rPr>
  </w:style>
  <w:style w:type="character" w:styleId="Nmerodepgina">
    <w:name w:val="page number"/>
    <w:basedOn w:val="Fuentedeprrafopredeter"/>
    <w:uiPriority w:val="99"/>
    <w:unhideWhenUsed/>
    <w:rsid w:val="00E5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7639">
      <w:bodyDiv w:val="1"/>
      <w:marLeft w:val="0"/>
      <w:marRight w:val="0"/>
      <w:marTop w:val="0"/>
      <w:marBottom w:val="0"/>
      <w:divBdr>
        <w:top w:val="none" w:sz="0" w:space="0" w:color="auto"/>
        <w:left w:val="none" w:sz="0" w:space="0" w:color="auto"/>
        <w:bottom w:val="none" w:sz="0" w:space="0" w:color="auto"/>
        <w:right w:val="none" w:sz="0" w:space="0" w:color="auto"/>
      </w:divBdr>
    </w:div>
    <w:div w:id="880673172">
      <w:bodyDiv w:val="1"/>
      <w:marLeft w:val="0"/>
      <w:marRight w:val="0"/>
      <w:marTop w:val="0"/>
      <w:marBottom w:val="0"/>
      <w:divBdr>
        <w:top w:val="none" w:sz="0" w:space="0" w:color="auto"/>
        <w:left w:val="none" w:sz="0" w:space="0" w:color="auto"/>
        <w:bottom w:val="none" w:sz="0" w:space="0" w:color="auto"/>
        <w:right w:val="none" w:sz="0" w:space="0" w:color="auto"/>
      </w:divBdr>
    </w:div>
    <w:div w:id="948665441">
      <w:bodyDiv w:val="1"/>
      <w:marLeft w:val="0"/>
      <w:marRight w:val="0"/>
      <w:marTop w:val="0"/>
      <w:marBottom w:val="0"/>
      <w:divBdr>
        <w:top w:val="none" w:sz="0" w:space="0" w:color="auto"/>
        <w:left w:val="none" w:sz="0" w:space="0" w:color="auto"/>
        <w:bottom w:val="none" w:sz="0" w:space="0" w:color="auto"/>
        <w:right w:val="none" w:sz="0" w:space="0" w:color="auto"/>
      </w:divBdr>
    </w:div>
    <w:div w:id="1253709423">
      <w:bodyDiv w:val="1"/>
      <w:marLeft w:val="0"/>
      <w:marRight w:val="0"/>
      <w:marTop w:val="0"/>
      <w:marBottom w:val="0"/>
      <w:divBdr>
        <w:top w:val="none" w:sz="0" w:space="0" w:color="auto"/>
        <w:left w:val="none" w:sz="0" w:space="0" w:color="auto"/>
        <w:bottom w:val="none" w:sz="0" w:space="0" w:color="auto"/>
        <w:right w:val="none" w:sz="0" w:space="0" w:color="auto"/>
      </w:divBdr>
    </w:div>
    <w:div w:id="1360663314">
      <w:bodyDiv w:val="1"/>
      <w:marLeft w:val="0"/>
      <w:marRight w:val="0"/>
      <w:marTop w:val="0"/>
      <w:marBottom w:val="0"/>
      <w:divBdr>
        <w:top w:val="none" w:sz="0" w:space="0" w:color="auto"/>
        <w:left w:val="none" w:sz="0" w:space="0" w:color="auto"/>
        <w:bottom w:val="none" w:sz="0" w:space="0" w:color="auto"/>
        <w:right w:val="none" w:sz="0" w:space="0" w:color="auto"/>
      </w:divBdr>
    </w:div>
    <w:div w:id="18494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4</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Michael Ortega Nash</dc:creator>
  <cp:keywords/>
  <dc:description/>
  <cp:lastModifiedBy>Jose Michael Ortega Nash</cp:lastModifiedBy>
  <cp:revision>37</cp:revision>
  <dcterms:created xsi:type="dcterms:W3CDTF">2017-12-15T09:16:00Z</dcterms:created>
  <dcterms:modified xsi:type="dcterms:W3CDTF">2018-11-19T12:47:00Z</dcterms:modified>
</cp:coreProperties>
</file>