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INGRESOS + GASTOS DEL COLEGIO OFICIAL DE QUÍMICOS DE CANARIAS DURANTE EL AÑO 2019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TOTAL DISPONIBLE EN CUENTA UNIFICADA DEL COLEGIO A 31/12/2018: </w:t>
      </w:r>
      <w:r w:rsidDel="00000000" w:rsidR="00000000" w:rsidRPr="00000000">
        <w:rPr>
          <w:b w:val="1"/>
          <w:rtl w:val="0"/>
        </w:rPr>
        <w:t xml:space="preserve">56.662,79 €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(Ver saldo cuenta única Colegio)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TOTAL DISPONIBLE EN CONJUNTO DE CUENTAS Y CAJA A 31/12/2019:</w:t>
      </w:r>
      <w:r w:rsidDel="00000000" w:rsidR="00000000" w:rsidRPr="00000000">
        <w:rPr>
          <w:b w:val="1"/>
          <w:rtl w:val="0"/>
        </w:rPr>
        <w:t xml:space="preserve"> 53.483,10 €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TOTAL DISPONIBLE EN CAJA A 31/12/2019: </w:t>
      </w:r>
      <w:r w:rsidDel="00000000" w:rsidR="00000000" w:rsidRPr="00000000">
        <w:rPr>
          <w:b w:val="1"/>
          <w:rtl w:val="0"/>
        </w:rPr>
        <w:t xml:space="preserve">0,00 €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 A JUSTIFICAR: PÉRDIDAS DE  3.179,69 €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(Todos los gastos e ingresos que siguen tienen justificación </w:t>
      </w:r>
      <w:r w:rsidDel="00000000" w:rsidR="00000000" w:rsidRPr="00000000">
        <w:rPr>
          <w:b w:val="1"/>
          <w:u w:val="single"/>
          <w:rtl w:val="0"/>
        </w:rPr>
        <w:t xml:space="preserve">exacta</w:t>
      </w:r>
      <w:r w:rsidDel="00000000" w:rsidR="00000000" w:rsidRPr="00000000">
        <w:rPr>
          <w:rtl w:val="0"/>
        </w:rPr>
        <w:t xml:space="preserve"> en los asientos bancarios)</w:t>
      </w:r>
    </w:p>
    <w:tbl>
      <w:tblPr>
        <w:tblStyle w:val="Table1"/>
        <w:tblW w:w="75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1996"/>
        <w:tblGridChange w:id="0">
          <w:tblGrid>
            <w:gridCol w:w="5524"/>
            <w:gridCol w:w="1996"/>
          </w:tblGrid>
        </w:tblGridChange>
      </w:tblGrid>
      <w:tr>
        <w:trPr>
          <w:trHeight w:val="300" w:hRule="atLeast"/>
        </w:trPr>
        <w:tc>
          <w:tcPr>
            <w:shd w:fill="d0cece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GASTOS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Ejecutado 2019</w:t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 I SEDE Y SUMINISTROS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Comunidad Castro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Seguro Sede AXA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269,45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Extintor Drexmin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10,56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Copistería Copycolor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60,94</w:t>
            </w:r>
          </w:p>
        </w:tc>
      </w:tr>
      <w:tr>
        <w:trPr>
          <w:trHeight w:val="610" w:hRule="atLeast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Web 1&amp;1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237,78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Telef+Internet Movistar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914,01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Material Oficina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Agua Emmasa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142,62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Luz Endesa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250,45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Canarias Blue Tarjetas Colegiados*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trHeight w:val="300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CAP I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2.485,81</w:t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22">
            <w:pPr>
              <w:tabs>
                <w:tab w:val="left" w:pos="41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 II PERSONAL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Honorarios Gerente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3.852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Liquidación administrativo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Seguridad Social administrativo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CAP II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3.852,00</w:t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 III PROVEEDORES SERVICIOS Y ASESORES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Serv. Jurídicos Alonso y Díaz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920,49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LPD Aixa Corpore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222,65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Seguro RC Junta Dir y Gerente PSN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318,45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Seguro RC Colectivo Voluntario PSN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111,55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Novax Asesores SL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Cámara de Comercio SCTFE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trHeight w:val="300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CAP III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1.573,14</w:t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 IV CUOTAS PERTENENCIA CONSEJO, ANQUE, UPCAN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Consejo General Colegios de Químicos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1.553,00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ANQUE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2064,65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UPCAN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trHeight w:val="300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CAP IV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3.817,65</w:t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 V IMPUESTOS Y COMISIONES BANCARIAS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COM. MANTENIMIENTO BANCA DIGITAL CAIXA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127,90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COM. OPERACIONES CUENTA CAIXA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41,79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COM. ADMON. DEPÓSITO CUENTA CAIXA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13,20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COM. MANTENIMIENTO CUENTA CAIXA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48,00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GASTOS BANCARIOS REMESAS Y DEVOLUCIONES RECIBOS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1098,10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IBI Inmueble Calle Castro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276,57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Impuesto Municipal Basura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120,43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CAP V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1.725,99</w:t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 VI PARTICIPACIÓN EVENTOS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Premio Congreso Estudiantes ULL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50,00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Cóctel San Alberto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287,55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Gastos Viaje Asamblea ANQUE Palma Mallorca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Avión y Estancia Asamblea Anque Palma Mallorca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391,00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Almuerzo Cortesía Junta Directiva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208,94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Cofee Break Casino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87,86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Alquiler sala Casino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106,50</w:t>
            </w:r>
          </w:p>
        </w:tc>
      </w:tr>
      <w:tr>
        <w:trPr>
          <w:trHeight w:val="300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CAP VI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1.231,85</w:t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 VII OTROS GASTOS</w:t>
            </w:r>
          </w:p>
        </w:tc>
      </w:tr>
      <w:tr>
        <w:trPr>
          <w:trHeight w:val="3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Coste Correos Vot.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5,18</w:t>
            </w:r>
          </w:p>
        </w:tc>
      </w:tr>
      <w:tr>
        <w:trPr>
          <w:trHeight w:val="300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CAP VII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5,18</w:t>
            </w:r>
          </w:p>
        </w:tc>
      </w:tr>
      <w:tr>
        <w:trPr>
          <w:trHeight w:val="300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4b083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GASTOS EJECUTADOS EJERCICIO 2019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14.691,62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5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1985"/>
        <w:tblGridChange w:id="0">
          <w:tblGrid>
            <w:gridCol w:w="4531"/>
            <w:gridCol w:w="1985"/>
          </w:tblGrid>
        </w:tblGridChange>
      </w:tblGrid>
      <w:tr>
        <w:trPr>
          <w:trHeight w:val="300" w:hRule="atLeast"/>
        </w:trPr>
        <w:tc>
          <w:tcPr>
            <w:shd w:fill="d5dce4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INGRESOS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Ejecutado 2019 (€)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REMESAS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10.550,00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CUOTAS PARCIALES NEJ Y EJ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325,00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TRANSFERENCIAS Y TRASPASOS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68,47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TRANFERENCIA AQIQC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523,21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VISADOS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45,18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INTERESES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</w:tr>
      <w:tr>
        <w:trPr>
          <w:trHeight w:val="300" w:hRule="atLeast"/>
        </w:trPr>
        <w:tc>
          <w:tcPr>
            <w:shd w:fill="c5e0b3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INGRESOS EJECUTADOS EJERCICIO 2019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11.511,88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75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60"/>
        <w:gridCol w:w="1660"/>
        <w:tblGridChange w:id="0">
          <w:tblGrid>
            <w:gridCol w:w="5860"/>
            <w:gridCol w:w="1660"/>
          </w:tblGrid>
        </w:tblGridChange>
      </w:tblGrid>
      <w:tr>
        <w:trPr>
          <w:trHeight w:val="300" w:hRule="atLeast"/>
        </w:trPr>
        <w:tc>
          <w:tcPr>
            <w:shd w:fill="f4b083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INGRESOS - GASTOS EJECUTADO 2019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3.179,74 €</w:t>
            </w:r>
          </w:p>
        </w:tc>
      </w:tr>
    </w:tbl>
    <w:p w:rsidR="00000000" w:rsidDel="00000000" w:rsidP="00000000" w:rsidRDefault="00000000" w:rsidRPr="00000000" w14:paraId="0000009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/>
      </w:pPr>
      <w:r w:rsidDel="00000000" w:rsidR="00000000" w:rsidRPr="00000000">
        <w:rPr>
          <w:b w:val="1"/>
          <w:rtl w:val="0"/>
        </w:rPr>
        <w:t xml:space="preserve">Diferencia con pérdidas 0,05 € = 3.179,69 – 3.179,74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56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519"/>
      <w:gridCol w:w="3288"/>
      <w:gridCol w:w="2753"/>
      <w:tblGridChange w:id="0">
        <w:tblGrid>
          <w:gridCol w:w="3519"/>
          <w:gridCol w:w="3288"/>
          <w:gridCol w:w="2753"/>
        </w:tblGrid>
      </w:tblGridChange>
    </w:tblGrid>
    <w:tr>
      <w:trPr>
        <w:trHeight w:val="273" w:hRule="atLeast"/>
      </w:trPr>
      <w:tc>
        <w:tcPr>
          <w:vMerge w:val="restart"/>
        </w:tcPr>
        <w:p w:rsidR="00000000" w:rsidDel="00000000" w:rsidP="00000000" w:rsidRDefault="00000000" w:rsidRPr="00000000" w14:paraId="000000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097405" cy="70739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405" cy="7073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DOCUMENTO</w:t>
          </w:r>
        </w:p>
      </w:tc>
      <w:tc>
        <w:tcPr/>
        <w:p w:rsidR="00000000" w:rsidDel="00000000" w:rsidP="00000000" w:rsidRDefault="00000000" w:rsidRPr="00000000" w14:paraId="000000A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</w:t>
          </w:r>
        </w:p>
      </w:tc>
    </w:tr>
    <w:tr>
      <w:trPr>
        <w:trHeight w:val="821" w:hRule="atLeast"/>
      </w:trPr>
      <w:tc>
        <w:tcPr>
          <w:vMerge w:val="continue"/>
        </w:tcPr>
        <w:p w:rsidR="00000000" w:rsidDel="00000000" w:rsidP="00000000" w:rsidRDefault="00000000" w:rsidRPr="00000000" w14:paraId="000000A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INGRESOS + GASTOS 2019</w:t>
          </w:r>
        </w:p>
      </w:tc>
      <w:tc>
        <w:tcPr/>
        <w:p w:rsidR="00000000" w:rsidDel="00000000" w:rsidP="00000000" w:rsidRDefault="00000000" w:rsidRPr="00000000" w14:paraId="000000A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01/01/2020</w:t>
          </w:r>
        </w:p>
      </w:tc>
    </w:tr>
  </w:tbl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-6160451</wp:posOffset>
              </wp:positionH>
              <wp:positionV relativeFrom="page">
                <wp:posOffset>241618</wp:posOffset>
              </wp:positionV>
              <wp:extent cx="487045" cy="4870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07240" y="3541240"/>
                        <a:ext cx="477520" cy="47752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3</w:t>
                          </w:r>
                        </w:p>
                      </w:txbxContent>
                    </wps:txbx>
                    <wps:bodyPr anchorCtr="0" anchor="t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-6160451</wp:posOffset>
              </wp:positionH>
              <wp:positionV relativeFrom="page">
                <wp:posOffset>241618</wp:posOffset>
              </wp:positionV>
              <wp:extent cx="487045" cy="48704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045" cy="487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